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FDBF5" w14:textId="77777777" w:rsidR="007230F1" w:rsidRDefault="00977653" w:rsidP="00213A30">
      <w:pPr>
        <w:pStyle w:val="NormalWeb"/>
        <w:spacing w:before="0" w:beforeAutospacing="0" w:after="0" w:afterAutospacing="0"/>
        <w:rPr>
          <w:rFonts w:asciiTheme="minorHAnsi" w:hAnsiTheme="minorHAnsi" w:cs="Arial"/>
          <w:b/>
          <w:bCs/>
          <w:sz w:val="22"/>
          <w:szCs w:val="22"/>
        </w:rPr>
      </w:pPr>
      <w:r>
        <w:rPr>
          <w:rFonts w:asciiTheme="minorHAnsi" w:hAnsiTheme="minorHAnsi" w:cs="Arial"/>
          <w:b/>
          <w:bCs/>
          <w:noProof/>
          <w:sz w:val="22"/>
          <w:szCs w:val="22"/>
        </w:rPr>
        <w:drawing>
          <wp:inline distT="0" distB="0" distL="0" distR="0" wp14:anchorId="52F378FF" wp14:editId="6175AE18">
            <wp:extent cx="1885950" cy="712001"/>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L_FR_Quadr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7663" cy="716423"/>
                    </a:xfrm>
                    <a:prstGeom prst="rect">
                      <a:avLst/>
                    </a:prstGeom>
                  </pic:spPr>
                </pic:pic>
              </a:graphicData>
            </a:graphic>
          </wp:inline>
        </w:drawing>
      </w:r>
      <w:r w:rsidR="002D3564">
        <w:rPr>
          <w:rFonts w:asciiTheme="minorHAnsi" w:hAnsiTheme="minorHAnsi" w:cs="Arial"/>
          <w:b/>
          <w:bCs/>
          <w:sz w:val="22"/>
          <w:szCs w:val="22"/>
        </w:rPr>
        <w:tab/>
      </w:r>
      <w:r w:rsidR="002D3564">
        <w:rPr>
          <w:rFonts w:asciiTheme="minorHAnsi" w:hAnsiTheme="minorHAnsi" w:cs="Arial"/>
          <w:b/>
          <w:bCs/>
          <w:sz w:val="22"/>
          <w:szCs w:val="22"/>
        </w:rPr>
        <w:tab/>
      </w:r>
    </w:p>
    <w:p w14:paraId="5CAFB2D4" w14:textId="77777777" w:rsidR="00213A30" w:rsidRDefault="00213A30" w:rsidP="00213A30">
      <w:pPr>
        <w:pStyle w:val="NormalWeb"/>
        <w:spacing w:before="0" w:beforeAutospacing="0" w:after="0" w:afterAutospacing="0"/>
        <w:rPr>
          <w:rFonts w:asciiTheme="minorHAnsi" w:hAnsiTheme="minorHAnsi" w:cs="Arial"/>
          <w:b/>
          <w:bCs/>
          <w:sz w:val="22"/>
          <w:szCs w:val="22"/>
        </w:rPr>
      </w:pPr>
    </w:p>
    <w:p w14:paraId="2F7A8313" w14:textId="5B6C4BDA" w:rsidR="00EF2293" w:rsidRDefault="00EF2293" w:rsidP="00213A30">
      <w:pPr>
        <w:pStyle w:val="NormalWeb"/>
        <w:spacing w:before="0" w:beforeAutospacing="0" w:after="0" w:afterAutospacing="0"/>
        <w:rPr>
          <w:rFonts w:asciiTheme="minorHAnsi" w:hAnsiTheme="minorHAnsi" w:cs="Arial"/>
          <w:sz w:val="22"/>
          <w:szCs w:val="22"/>
        </w:rPr>
      </w:pPr>
      <w:r w:rsidRPr="006B7EFE">
        <w:rPr>
          <w:rFonts w:asciiTheme="minorHAnsi" w:hAnsiTheme="minorHAnsi" w:cs="Arial"/>
          <w:b/>
          <w:bCs/>
          <w:sz w:val="22"/>
          <w:szCs w:val="22"/>
        </w:rPr>
        <w:t>Communiqué de presse</w:t>
      </w:r>
      <w:r w:rsidR="007230F1">
        <w:rPr>
          <w:rFonts w:asciiTheme="minorHAnsi" w:hAnsiTheme="minorHAnsi" w:cs="Arial"/>
          <w:b/>
          <w:bCs/>
          <w:sz w:val="22"/>
          <w:szCs w:val="22"/>
        </w:rPr>
        <w:tab/>
      </w:r>
      <w:r w:rsidR="007230F1">
        <w:rPr>
          <w:rFonts w:asciiTheme="minorHAnsi" w:hAnsiTheme="minorHAnsi" w:cs="Arial"/>
          <w:b/>
          <w:bCs/>
          <w:sz w:val="22"/>
          <w:szCs w:val="22"/>
        </w:rPr>
        <w:tab/>
      </w:r>
      <w:r w:rsidR="007230F1">
        <w:rPr>
          <w:rFonts w:asciiTheme="minorHAnsi" w:hAnsiTheme="minorHAnsi" w:cs="Arial"/>
          <w:b/>
          <w:bCs/>
          <w:sz w:val="22"/>
          <w:szCs w:val="22"/>
        </w:rPr>
        <w:tab/>
      </w:r>
      <w:bookmarkStart w:id="0" w:name="_GoBack"/>
      <w:bookmarkEnd w:id="0"/>
      <w:r w:rsidR="007230F1">
        <w:rPr>
          <w:rFonts w:asciiTheme="minorHAnsi" w:hAnsiTheme="minorHAnsi" w:cs="Arial"/>
          <w:b/>
          <w:bCs/>
          <w:sz w:val="22"/>
          <w:szCs w:val="22"/>
        </w:rPr>
        <w:tab/>
      </w:r>
      <w:r w:rsidR="007230F1">
        <w:rPr>
          <w:rFonts w:asciiTheme="minorHAnsi" w:hAnsiTheme="minorHAnsi" w:cs="Arial"/>
          <w:b/>
          <w:bCs/>
          <w:sz w:val="22"/>
          <w:szCs w:val="22"/>
        </w:rPr>
        <w:tab/>
      </w:r>
      <w:r w:rsidR="007230F1">
        <w:rPr>
          <w:rFonts w:asciiTheme="minorHAnsi" w:hAnsiTheme="minorHAnsi" w:cs="Arial"/>
          <w:b/>
          <w:bCs/>
          <w:sz w:val="22"/>
          <w:szCs w:val="22"/>
        </w:rPr>
        <w:tab/>
      </w:r>
      <w:r w:rsidR="007230F1">
        <w:rPr>
          <w:rFonts w:asciiTheme="minorHAnsi" w:hAnsiTheme="minorHAnsi" w:cs="Arial"/>
          <w:b/>
          <w:bCs/>
          <w:sz w:val="22"/>
          <w:szCs w:val="22"/>
        </w:rPr>
        <w:tab/>
      </w:r>
      <w:r w:rsidR="007230F1">
        <w:rPr>
          <w:rFonts w:asciiTheme="minorHAnsi" w:hAnsiTheme="minorHAnsi" w:cs="Arial"/>
          <w:b/>
          <w:bCs/>
          <w:sz w:val="22"/>
          <w:szCs w:val="22"/>
        </w:rPr>
        <w:tab/>
      </w:r>
      <w:r w:rsidRPr="00451A35">
        <w:rPr>
          <w:rFonts w:asciiTheme="minorHAnsi" w:hAnsiTheme="minorHAnsi" w:cs="Arial"/>
          <w:sz w:val="22"/>
          <w:szCs w:val="22"/>
        </w:rPr>
        <w:t xml:space="preserve">Liège, le </w:t>
      </w:r>
      <w:r w:rsidR="002D3564" w:rsidRPr="00451A35">
        <w:rPr>
          <w:rFonts w:asciiTheme="minorHAnsi" w:hAnsiTheme="minorHAnsi" w:cs="Arial"/>
          <w:sz w:val="22"/>
          <w:szCs w:val="22"/>
        </w:rPr>
        <w:t>16</w:t>
      </w:r>
      <w:r w:rsidRPr="00451A35">
        <w:rPr>
          <w:rFonts w:asciiTheme="minorHAnsi" w:hAnsiTheme="minorHAnsi" w:cs="Arial"/>
          <w:sz w:val="22"/>
          <w:szCs w:val="22"/>
        </w:rPr>
        <w:t xml:space="preserve"> février </w:t>
      </w:r>
      <w:r w:rsidR="002D3564" w:rsidRPr="00451A35">
        <w:rPr>
          <w:rFonts w:asciiTheme="minorHAnsi" w:hAnsiTheme="minorHAnsi" w:cs="Arial"/>
          <w:sz w:val="22"/>
          <w:szCs w:val="22"/>
        </w:rPr>
        <w:t>2022</w:t>
      </w:r>
    </w:p>
    <w:p w14:paraId="64A6C60E" w14:textId="6D08FB72" w:rsidR="00213A30" w:rsidRDefault="00213A30" w:rsidP="00213A30">
      <w:pPr>
        <w:pStyle w:val="NormalWeb"/>
        <w:spacing w:before="0" w:beforeAutospacing="0" w:after="0" w:afterAutospacing="0"/>
        <w:rPr>
          <w:rFonts w:asciiTheme="minorHAnsi" w:hAnsiTheme="minorHAnsi" w:cs="Arial"/>
          <w:sz w:val="22"/>
          <w:szCs w:val="22"/>
        </w:rPr>
      </w:pPr>
    </w:p>
    <w:p w14:paraId="0CA347FE" w14:textId="77777777" w:rsidR="00213A30" w:rsidRPr="00451A35" w:rsidRDefault="00213A30" w:rsidP="00213A30">
      <w:pPr>
        <w:pStyle w:val="NormalWeb"/>
        <w:spacing w:before="0" w:beforeAutospacing="0" w:after="0" w:afterAutospacing="0"/>
        <w:rPr>
          <w:rFonts w:asciiTheme="minorHAnsi" w:hAnsiTheme="minorHAnsi" w:cs="Arial"/>
          <w:sz w:val="22"/>
          <w:szCs w:val="22"/>
        </w:rPr>
      </w:pPr>
    </w:p>
    <w:p w14:paraId="65D12CA4" w14:textId="358164B5" w:rsidR="002D1856" w:rsidRPr="002D1856" w:rsidRDefault="002D3564" w:rsidP="00213A30">
      <w:pPr>
        <w:pStyle w:val="Chapitre"/>
        <w:spacing w:after="0" w:line="240" w:lineRule="auto"/>
        <w:jc w:val="center"/>
        <w:rPr>
          <w:rFonts w:cs="Arial"/>
        </w:rPr>
      </w:pPr>
      <w:r>
        <w:rPr>
          <w:rFonts w:cs="Arial"/>
        </w:rPr>
        <w:t>Trafics 2021</w:t>
      </w:r>
      <w:r w:rsidR="002D1856">
        <w:rPr>
          <w:color w:val="auto"/>
          <w:sz w:val="24"/>
          <w:szCs w:val="24"/>
        </w:rPr>
        <w:t> </w:t>
      </w:r>
      <w:r w:rsidR="002D1856" w:rsidRPr="002D1856">
        <w:rPr>
          <w:rFonts w:cs="Arial"/>
        </w:rPr>
        <w:t xml:space="preserve">: Le trafic fluvial du </w:t>
      </w:r>
      <w:r w:rsidR="008C03C2">
        <w:rPr>
          <w:rFonts w:cs="Arial"/>
        </w:rPr>
        <w:t>P</w:t>
      </w:r>
      <w:r w:rsidR="002D1856" w:rsidRPr="002D1856">
        <w:rPr>
          <w:rFonts w:cs="Arial"/>
        </w:rPr>
        <w:t>ort de Liège renoue avec la croissance !</w:t>
      </w:r>
    </w:p>
    <w:p w14:paraId="24AA70D6" w14:textId="6F0D8D40" w:rsidR="002D1856" w:rsidRDefault="002D1856" w:rsidP="00213A30">
      <w:pPr>
        <w:pStyle w:val="Body"/>
        <w:spacing w:after="0"/>
        <w:rPr>
          <w:sz w:val="22"/>
          <w:szCs w:val="22"/>
        </w:rPr>
      </w:pPr>
    </w:p>
    <w:p w14:paraId="75F0B001" w14:textId="77777777" w:rsidR="00213A30" w:rsidRDefault="00213A30" w:rsidP="00213A30">
      <w:pPr>
        <w:pStyle w:val="Body"/>
        <w:spacing w:after="0"/>
        <w:rPr>
          <w:sz w:val="22"/>
          <w:szCs w:val="22"/>
        </w:rPr>
      </w:pPr>
    </w:p>
    <w:p w14:paraId="00196553" w14:textId="513E30AC" w:rsidR="00572FFE" w:rsidRPr="009443A6" w:rsidRDefault="00572FFE" w:rsidP="00213A30">
      <w:pPr>
        <w:shd w:val="clear" w:color="auto" w:fill="FFFFFF"/>
        <w:spacing w:after="0" w:line="240" w:lineRule="auto"/>
        <w:jc w:val="both"/>
        <w:outlineLvl w:val="0"/>
        <w:rPr>
          <w:rFonts w:eastAsia="Times New Roman" w:cstheme="minorHAnsi"/>
          <w:kern w:val="36"/>
          <w:lang w:eastAsia="fr-BE"/>
        </w:rPr>
      </w:pPr>
      <w:r w:rsidRPr="009443A6">
        <w:rPr>
          <w:rFonts w:eastAsia="Times New Roman" w:cstheme="minorHAnsi"/>
          <w:kern w:val="36"/>
          <w:lang w:eastAsia="fr-BE"/>
        </w:rPr>
        <w:t xml:space="preserve">En 2021, le trafic fluvial du </w:t>
      </w:r>
      <w:r w:rsidR="008C03C2">
        <w:rPr>
          <w:rFonts w:eastAsia="Times New Roman" w:cstheme="minorHAnsi"/>
          <w:kern w:val="36"/>
          <w:lang w:eastAsia="fr-BE"/>
        </w:rPr>
        <w:t>P</w:t>
      </w:r>
      <w:r w:rsidRPr="009443A6">
        <w:rPr>
          <w:rFonts w:eastAsia="Times New Roman" w:cstheme="minorHAnsi"/>
          <w:kern w:val="36"/>
          <w:lang w:eastAsia="fr-BE"/>
        </w:rPr>
        <w:t xml:space="preserve">ort de Liège renoue avec la croissance et repart à la hausse en totalisant près de 15 millions de tonnes de marchandises manutentionnées par la voie d’eau, soit une hausse de 7% par rapport à l’année précédente. </w:t>
      </w:r>
    </w:p>
    <w:p w14:paraId="6950DC1E" w14:textId="2D9D1BF6" w:rsidR="00572FFE" w:rsidRPr="009443A6" w:rsidRDefault="00572FFE" w:rsidP="00213A30">
      <w:pPr>
        <w:shd w:val="clear" w:color="auto" w:fill="FFFFFF"/>
        <w:spacing w:after="0" w:line="240" w:lineRule="auto"/>
        <w:jc w:val="both"/>
        <w:outlineLvl w:val="0"/>
        <w:rPr>
          <w:rFonts w:eastAsia="Times New Roman" w:cstheme="minorHAnsi"/>
          <w:kern w:val="36"/>
          <w:lang w:eastAsia="fr-BE"/>
        </w:rPr>
      </w:pPr>
    </w:p>
    <w:p w14:paraId="5E19693A" w14:textId="2628FB28" w:rsidR="00572FFE" w:rsidRPr="009443A6" w:rsidRDefault="00572FFE" w:rsidP="00213A30">
      <w:pPr>
        <w:shd w:val="clear" w:color="auto" w:fill="FFFFFF"/>
        <w:spacing w:after="0" w:line="240" w:lineRule="auto"/>
        <w:jc w:val="both"/>
        <w:outlineLvl w:val="0"/>
        <w:rPr>
          <w:rFonts w:eastAsia="Times New Roman" w:cstheme="minorHAnsi"/>
          <w:kern w:val="36"/>
          <w:lang w:eastAsia="fr-BE"/>
        </w:rPr>
      </w:pPr>
      <w:r w:rsidRPr="009443A6">
        <w:rPr>
          <w:rFonts w:eastAsia="Times New Roman" w:cstheme="minorHAnsi"/>
          <w:kern w:val="36"/>
          <w:lang w:eastAsia="fr-BE"/>
        </w:rPr>
        <w:t xml:space="preserve">Un léger rebond des trafics globaux (eau-rail-route) a également bénéficié au port de Liège l’an dernier. Son trafic </w:t>
      </w:r>
      <w:r w:rsidR="00B54B1F">
        <w:rPr>
          <w:rFonts w:eastAsia="Times New Roman" w:cstheme="minorHAnsi"/>
          <w:kern w:val="36"/>
          <w:lang w:eastAsia="fr-BE"/>
        </w:rPr>
        <w:t xml:space="preserve">global </w:t>
      </w:r>
      <w:r w:rsidRPr="009443A6">
        <w:rPr>
          <w:rFonts w:eastAsia="Times New Roman" w:cstheme="minorHAnsi"/>
          <w:kern w:val="36"/>
          <w:lang w:eastAsia="fr-BE"/>
        </w:rPr>
        <w:t>a ainsi augmenté d’1% par rapport à 2020, pour frôler la barre des 19.5 millions de tonnes</w:t>
      </w:r>
      <w:r w:rsidR="00F67CF7" w:rsidRPr="009443A6">
        <w:rPr>
          <w:rFonts w:eastAsia="Times New Roman" w:cstheme="minorHAnsi"/>
          <w:kern w:val="36"/>
          <w:lang w:eastAsia="fr-BE"/>
        </w:rPr>
        <w:t xml:space="preserve"> manutentionné</w:t>
      </w:r>
      <w:r w:rsidR="00B54B1F">
        <w:rPr>
          <w:rFonts w:eastAsia="Times New Roman" w:cstheme="minorHAnsi"/>
          <w:kern w:val="36"/>
          <w:lang w:eastAsia="fr-BE"/>
        </w:rPr>
        <w:t>e</w:t>
      </w:r>
      <w:r w:rsidR="00F67CF7" w:rsidRPr="009443A6">
        <w:rPr>
          <w:rFonts w:eastAsia="Times New Roman" w:cstheme="minorHAnsi"/>
          <w:kern w:val="36"/>
          <w:lang w:eastAsia="fr-BE"/>
        </w:rPr>
        <w:t>s sur l’ensemble des 33 zones portuaires liégeoises</w:t>
      </w:r>
      <w:r w:rsidRPr="009443A6">
        <w:rPr>
          <w:rFonts w:eastAsia="Times New Roman" w:cstheme="minorHAnsi"/>
          <w:kern w:val="36"/>
          <w:lang w:eastAsia="fr-BE"/>
        </w:rPr>
        <w:t xml:space="preserve">.  </w:t>
      </w:r>
    </w:p>
    <w:p w14:paraId="0FE6C6FE" w14:textId="77777777" w:rsidR="00572FFE" w:rsidRPr="009443A6" w:rsidRDefault="00572FFE" w:rsidP="00213A30">
      <w:pPr>
        <w:shd w:val="clear" w:color="auto" w:fill="FFFFFF"/>
        <w:spacing w:after="0" w:line="240" w:lineRule="auto"/>
        <w:jc w:val="both"/>
        <w:outlineLvl w:val="0"/>
        <w:rPr>
          <w:rFonts w:eastAsia="Times New Roman" w:cstheme="minorHAnsi"/>
          <w:kern w:val="36"/>
          <w:lang w:eastAsia="fr-BE"/>
        </w:rPr>
      </w:pPr>
    </w:p>
    <w:p w14:paraId="236CA77C" w14:textId="6CD8A883" w:rsidR="00572FFE" w:rsidRPr="009443A6" w:rsidRDefault="00F67CF7" w:rsidP="00213A30">
      <w:pPr>
        <w:shd w:val="clear" w:color="auto" w:fill="FFFFFF"/>
        <w:spacing w:after="0" w:line="240" w:lineRule="auto"/>
        <w:jc w:val="both"/>
        <w:outlineLvl w:val="0"/>
        <w:rPr>
          <w:rFonts w:eastAsia="Times New Roman" w:cstheme="minorHAnsi"/>
          <w:kern w:val="36"/>
          <w:lang w:eastAsia="fr-BE"/>
        </w:rPr>
      </w:pPr>
      <w:r w:rsidRPr="009443A6">
        <w:rPr>
          <w:rFonts w:eastAsia="Times New Roman" w:cstheme="minorHAnsi"/>
          <w:kern w:val="36"/>
          <w:lang w:eastAsia="fr-BE"/>
        </w:rPr>
        <w:t xml:space="preserve">Pour la première fois </w:t>
      </w:r>
      <w:r w:rsidR="00AC2A11">
        <w:rPr>
          <w:rFonts w:eastAsia="Times New Roman" w:cstheme="minorHAnsi"/>
          <w:kern w:val="36"/>
          <w:lang w:eastAsia="fr-BE"/>
        </w:rPr>
        <w:t xml:space="preserve">depuis </w:t>
      </w:r>
      <w:r w:rsidR="002913F1">
        <w:rPr>
          <w:rFonts w:eastAsia="Times New Roman" w:cstheme="minorHAnsi"/>
          <w:kern w:val="36"/>
          <w:lang w:eastAsia="fr-BE"/>
        </w:rPr>
        <w:t>10</w:t>
      </w:r>
      <w:r w:rsidRPr="00AC2A11">
        <w:rPr>
          <w:rFonts w:eastAsia="Times New Roman" w:cstheme="minorHAnsi"/>
          <w:kern w:val="36"/>
          <w:lang w:eastAsia="fr-BE"/>
        </w:rPr>
        <w:t xml:space="preserve"> ans</w:t>
      </w:r>
      <w:r w:rsidRPr="009443A6">
        <w:rPr>
          <w:rFonts w:eastAsia="Times New Roman" w:cstheme="minorHAnsi"/>
          <w:kern w:val="36"/>
          <w:lang w:eastAsia="fr-BE"/>
        </w:rPr>
        <w:t>, l</w:t>
      </w:r>
      <w:r w:rsidR="00572FFE" w:rsidRPr="009443A6">
        <w:rPr>
          <w:rFonts w:eastAsia="Times New Roman" w:cstheme="minorHAnsi"/>
          <w:kern w:val="36"/>
          <w:lang w:eastAsia="fr-BE"/>
        </w:rPr>
        <w:t>e trafic de conteneurs enregistre</w:t>
      </w:r>
      <w:r w:rsidRPr="009443A6">
        <w:rPr>
          <w:rFonts w:eastAsia="Times New Roman" w:cstheme="minorHAnsi"/>
          <w:kern w:val="36"/>
          <w:lang w:eastAsia="fr-BE"/>
        </w:rPr>
        <w:t xml:space="preserve"> </w:t>
      </w:r>
      <w:r w:rsidR="00572FFE" w:rsidRPr="009443A6">
        <w:rPr>
          <w:rFonts w:eastAsia="Times New Roman" w:cstheme="minorHAnsi"/>
          <w:kern w:val="36"/>
          <w:lang w:eastAsia="fr-BE"/>
        </w:rPr>
        <w:t xml:space="preserve">un très léger recul (- 2%) avec près de 114.000 EVP manutentionnés sur les trois terminaux </w:t>
      </w:r>
      <w:r w:rsidR="0014530C" w:rsidRPr="009443A6">
        <w:rPr>
          <w:rFonts w:eastAsia="Times New Roman" w:cstheme="minorHAnsi"/>
          <w:kern w:val="36"/>
          <w:lang w:eastAsia="fr-BE"/>
        </w:rPr>
        <w:t xml:space="preserve">à conteneurs </w:t>
      </w:r>
      <w:r w:rsidR="00572FFE" w:rsidRPr="009443A6">
        <w:rPr>
          <w:rFonts w:eastAsia="Times New Roman" w:cstheme="minorHAnsi"/>
          <w:kern w:val="36"/>
          <w:lang w:eastAsia="fr-BE"/>
        </w:rPr>
        <w:t>du Port de Liège, en raison de la crise liée à la pandémie du coronavirus et des problèmes</w:t>
      </w:r>
      <w:r w:rsidR="006E1230" w:rsidRPr="009443A6">
        <w:rPr>
          <w:rFonts w:eastAsia="Times New Roman" w:cstheme="minorHAnsi"/>
          <w:kern w:val="36"/>
          <w:lang w:eastAsia="fr-BE"/>
        </w:rPr>
        <w:t xml:space="preserve"> de</w:t>
      </w:r>
      <w:r w:rsidR="00572FFE" w:rsidRPr="009443A6">
        <w:rPr>
          <w:rFonts w:eastAsia="Times New Roman" w:cstheme="minorHAnsi"/>
          <w:kern w:val="36"/>
          <w:lang w:eastAsia="fr-BE"/>
        </w:rPr>
        <w:t xml:space="preserve"> logistique</w:t>
      </w:r>
      <w:r w:rsidR="006E1230" w:rsidRPr="009443A6">
        <w:rPr>
          <w:rFonts w:eastAsia="Times New Roman" w:cstheme="minorHAnsi"/>
          <w:kern w:val="36"/>
          <w:lang w:eastAsia="fr-BE"/>
        </w:rPr>
        <w:t xml:space="preserve"> </w:t>
      </w:r>
      <w:r w:rsidR="00572FFE" w:rsidRPr="009443A6">
        <w:rPr>
          <w:rFonts w:eastAsia="Times New Roman" w:cstheme="minorHAnsi"/>
          <w:kern w:val="36"/>
          <w:lang w:eastAsia="fr-BE"/>
        </w:rPr>
        <w:t xml:space="preserve">de la chaîne mondiale. </w:t>
      </w:r>
    </w:p>
    <w:p w14:paraId="1A621624" w14:textId="4618C86B" w:rsidR="00572FFE" w:rsidRPr="009443A6" w:rsidRDefault="00572FFE" w:rsidP="00213A30">
      <w:pPr>
        <w:shd w:val="clear" w:color="auto" w:fill="FFFFFF"/>
        <w:spacing w:after="0" w:line="240" w:lineRule="auto"/>
        <w:jc w:val="both"/>
        <w:outlineLvl w:val="0"/>
        <w:rPr>
          <w:rFonts w:eastAsia="Times New Roman" w:cstheme="minorHAnsi"/>
          <w:kern w:val="36"/>
          <w:lang w:eastAsia="fr-BE"/>
        </w:rPr>
      </w:pPr>
    </w:p>
    <w:p w14:paraId="41354875" w14:textId="04BA0DC3" w:rsidR="002E7987" w:rsidRDefault="00096DE1" w:rsidP="00213A30">
      <w:pPr>
        <w:shd w:val="clear" w:color="auto" w:fill="FFFFFF"/>
        <w:spacing w:after="0" w:line="240" w:lineRule="auto"/>
        <w:jc w:val="both"/>
        <w:outlineLvl w:val="0"/>
        <w:rPr>
          <w:color w:val="000000" w:themeColor="text1"/>
        </w:rPr>
      </w:pPr>
      <w:r>
        <w:rPr>
          <w:rFonts w:eastAsia="Times New Roman" w:cstheme="minorHAnsi"/>
          <w:kern w:val="36"/>
          <w:lang w:eastAsia="fr-BE"/>
        </w:rPr>
        <w:t>G</w:t>
      </w:r>
      <w:r w:rsidR="00630280">
        <w:rPr>
          <w:rFonts w:eastAsia="Times New Roman" w:cstheme="minorHAnsi"/>
          <w:kern w:val="36"/>
          <w:lang w:eastAsia="fr-BE"/>
        </w:rPr>
        <w:t xml:space="preserve">rande </w:t>
      </w:r>
      <w:r w:rsidR="00370302" w:rsidRPr="009443A6">
        <w:rPr>
          <w:rFonts w:eastAsia="Times New Roman" w:cstheme="minorHAnsi"/>
          <w:kern w:val="36"/>
          <w:lang w:eastAsia="fr-BE"/>
        </w:rPr>
        <w:t>satisfaction : l</w:t>
      </w:r>
      <w:r w:rsidR="00FA64F1" w:rsidRPr="009443A6">
        <w:rPr>
          <w:rFonts w:eastAsia="Times New Roman" w:cstheme="minorHAnsi"/>
          <w:kern w:val="36"/>
          <w:lang w:eastAsia="fr-BE"/>
        </w:rPr>
        <w:t xml:space="preserve">e chiffre d’affaires du Port autonome de Liège s’élève en 2021 à 4.930.548 €, soit une </w:t>
      </w:r>
      <w:proofErr w:type="gramStart"/>
      <w:r w:rsidR="00FA64F1" w:rsidRPr="009443A6">
        <w:rPr>
          <w:rFonts w:eastAsia="Times New Roman" w:cstheme="minorHAnsi"/>
          <w:kern w:val="36"/>
          <w:lang w:eastAsia="fr-BE"/>
        </w:rPr>
        <w:t>augmentation</w:t>
      </w:r>
      <w:proofErr w:type="gramEnd"/>
      <w:r w:rsidR="00FA64F1" w:rsidRPr="009443A6">
        <w:rPr>
          <w:rFonts w:eastAsia="Times New Roman" w:cstheme="minorHAnsi"/>
          <w:kern w:val="36"/>
          <w:lang w:eastAsia="fr-BE"/>
        </w:rPr>
        <w:t xml:space="preserve"> de </w:t>
      </w:r>
      <w:r w:rsidR="00630280">
        <w:rPr>
          <w:rFonts w:eastAsia="Times New Roman" w:cstheme="minorHAnsi"/>
          <w:kern w:val="36"/>
          <w:lang w:eastAsia="fr-BE"/>
        </w:rPr>
        <w:t>11</w:t>
      </w:r>
      <w:r w:rsidR="00FA64F1" w:rsidRPr="009443A6">
        <w:rPr>
          <w:rFonts w:eastAsia="Times New Roman" w:cstheme="minorHAnsi"/>
          <w:kern w:val="36"/>
          <w:lang w:eastAsia="fr-BE"/>
        </w:rPr>
        <w:t xml:space="preserve"> %.</w:t>
      </w:r>
      <w:r w:rsidR="002E7987">
        <w:rPr>
          <w:rFonts w:eastAsia="Times New Roman" w:cstheme="minorHAnsi"/>
          <w:kern w:val="36"/>
          <w:lang w:eastAsia="fr-BE"/>
        </w:rPr>
        <w:t xml:space="preserve"> Ces résultats permettent ainsi à l’institution de maintenir ses investissements visant toujours à renforcer et à améliorer les infrastructures portuaires liégeoises. </w:t>
      </w:r>
      <w:r w:rsidR="001B1240">
        <w:rPr>
          <w:rFonts w:eastAsia="Times New Roman" w:cstheme="minorHAnsi"/>
          <w:kern w:val="36"/>
          <w:lang w:eastAsia="fr-BE"/>
        </w:rPr>
        <w:t xml:space="preserve"> Le Port autonome de Liège </w:t>
      </w:r>
      <w:r w:rsidR="002E7987" w:rsidRPr="00F517CD">
        <w:rPr>
          <w:color w:val="000000" w:themeColor="text1"/>
        </w:rPr>
        <w:t>entend ainsi répondre aux objectifs de la Déclaration de Politique Régionale du Gouvernement wallon en termes de report modal (c’est-à-dire le transfert du trafic de marchandises de la route vers le rail et/ou la navigation fluviale</w:t>
      </w:r>
      <w:r w:rsidR="002E7987">
        <w:rPr>
          <w:color w:val="000000" w:themeColor="text1"/>
        </w:rPr>
        <w:t xml:space="preserve">). </w:t>
      </w:r>
      <w:r w:rsidR="002E7987" w:rsidRPr="00F517CD">
        <w:rPr>
          <w:color w:val="000000" w:themeColor="text1"/>
        </w:rPr>
        <w:t xml:space="preserve"> </w:t>
      </w:r>
    </w:p>
    <w:p w14:paraId="5A51C469" w14:textId="0DE8E915" w:rsidR="00A93013" w:rsidRDefault="00A93013" w:rsidP="00213A30">
      <w:pPr>
        <w:shd w:val="clear" w:color="auto" w:fill="FFFFFF"/>
        <w:spacing w:after="0" w:line="240" w:lineRule="auto"/>
        <w:jc w:val="both"/>
        <w:outlineLvl w:val="0"/>
        <w:rPr>
          <w:color w:val="000000" w:themeColor="text1"/>
        </w:rPr>
      </w:pPr>
    </w:p>
    <w:p w14:paraId="4E57F0A5" w14:textId="081401F9" w:rsidR="00A93013" w:rsidRPr="006C3897" w:rsidRDefault="00A93013" w:rsidP="00213A30">
      <w:pPr>
        <w:shd w:val="clear" w:color="auto" w:fill="FFFFFF"/>
        <w:spacing w:after="0" w:line="240" w:lineRule="auto"/>
        <w:jc w:val="both"/>
        <w:outlineLvl w:val="0"/>
      </w:pPr>
      <w:r w:rsidRPr="006C3897">
        <w:t>Le Port a également joué un rôle important dans le cadre de l’évacuation</w:t>
      </w:r>
      <w:r w:rsidR="00096DE1">
        <w:t xml:space="preserve">, par la voie fluviale, </w:t>
      </w:r>
      <w:r w:rsidRPr="006C3897">
        <w:t xml:space="preserve">des déchets générés par les inondations de juillet 2021. </w:t>
      </w:r>
    </w:p>
    <w:p w14:paraId="7DB4B34C" w14:textId="77777777" w:rsidR="00096DE1" w:rsidRPr="00855B18" w:rsidRDefault="00096DE1" w:rsidP="00096DE1">
      <w:pPr>
        <w:shd w:val="clear" w:color="auto" w:fill="FFFFFF"/>
        <w:spacing w:after="0" w:line="240" w:lineRule="auto"/>
        <w:jc w:val="both"/>
        <w:outlineLvl w:val="0"/>
        <w:rPr>
          <w:rFonts w:eastAsia="Times New Roman" w:cstheme="minorHAnsi"/>
          <w:kern w:val="36"/>
          <w:lang w:eastAsia="fr-BE"/>
        </w:rPr>
      </w:pPr>
    </w:p>
    <w:p w14:paraId="4ED3F9B8" w14:textId="4DAC1A4C" w:rsidR="00213A30" w:rsidRPr="008D06C6" w:rsidRDefault="00096DE1" w:rsidP="00F70116">
      <w:pPr>
        <w:pStyle w:val="NormalWeb"/>
        <w:shd w:val="clear" w:color="auto" w:fill="FFFFFF"/>
        <w:spacing w:before="0" w:beforeAutospacing="0" w:after="390" w:afterAutospacing="0"/>
        <w:jc w:val="both"/>
        <w:rPr>
          <w:rFonts w:asciiTheme="minorHAnsi" w:hAnsiTheme="minorHAnsi"/>
          <w:sz w:val="22"/>
          <w:szCs w:val="22"/>
        </w:rPr>
      </w:pPr>
      <w:r>
        <w:rPr>
          <w:rFonts w:asciiTheme="minorHAnsi" w:hAnsiTheme="minorHAnsi" w:cs="Arial"/>
          <w:sz w:val="22"/>
          <w:szCs w:val="22"/>
        </w:rPr>
        <w:t xml:space="preserve">Selon M. Willy Demeyer, Président du Port </w:t>
      </w:r>
      <w:r w:rsidRPr="00D64119">
        <w:rPr>
          <w:rFonts w:asciiTheme="minorHAnsi" w:hAnsiTheme="minorHAnsi"/>
          <w:sz w:val="22"/>
          <w:szCs w:val="22"/>
        </w:rPr>
        <w:t>autonome de Liège : «</w:t>
      </w:r>
      <w:r w:rsidRPr="00096DE1">
        <w:rPr>
          <w:rFonts w:asciiTheme="minorHAnsi" w:hAnsiTheme="minorHAnsi"/>
          <w:sz w:val="22"/>
          <w:szCs w:val="22"/>
        </w:rPr>
        <w:t> </w:t>
      </w:r>
      <w:r w:rsidRPr="00096DE1">
        <w:rPr>
          <w:rFonts w:asciiTheme="minorHAnsi" w:hAnsiTheme="minorHAnsi"/>
          <w:i/>
          <w:iCs/>
          <w:sz w:val="22"/>
          <w:szCs w:val="22"/>
        </w:rPr>
        <w:t>Les concessionnaires portuaires ont fait preuve de résilience durant cette pandémie. Cela se marque sur les résultats du Port qui affiche</w:t>
      </w:r>
      <w:r w:rsidR="00DB3F01">
        <w:rPr>
          <w:rFonts w:asciiTheme="minorHAnsi" w:hAnsiTheme="minorHAnsi"/>
          <w:i/>
          <w:iCs/>
          <w:sz w:val="22"/>
          <w:szCs w:val="22"/>
        </w:rPr>
        <w:t>nt</w:t>
      </w:r>
      <w:r w:rsidRPr="00096DE1">
        <w:rPr>
          <w:rFonts w:asciiTheme="minorHAnsi" w:hAnsiTheme="minorHAnsi"/>
          <w:i/>
          <w:iCs/>
          <w:sz w:val="22"/>
          <w:szCs w:val="22"/>
        </w:rPr>
        <w:t xml:space="preserve"> une augmentation de 7% de ses trafics fluviaux et une croissance de 11 % de son chiffre d’affaires. Cela permet au Port autonome de Liège de poursuivre ses investissements. En cette période difficile, c’est exceptionnel</w:t>
      </w:r>
      <w:proofErr w:type="gramStart"/>
      <w:r w:rsidRPr="00096DE1">
        <w:rPr>
          <w:rFonts w:asciiTheme="minorHAnsi" w:hAnsiTheme="minorHAnsi"/>
          <w:i/>
          <w:iCs/>
          <w:sz w:val="22"/>
          <w:szCs w:val="22"/>
        </w:rPr>
        <w:t>.»</w:t>
      </w:r>
      <w:proofErr w:type="gramEnd"/>
    </w:p>
    <w:p w14:paraId="5131BA0F" w14:textId="3E3831D1" w:rsidR="00C76363" w:rsidRDefault="00C76363" w:rsidP="00213A30">
      <w:pPr>
        <w:shd w:val="clear" w:color="auto" w:fill="FFFFFF"/>
        <w:spacing w:after="0" w:line="240" w:lineRule="auto"/>
        <w:jc w:val="both"/>
        <w:outlineLvl w:val="0"/>
        <w:rPr>
          <w:rFonts w:eastAsia="Times New Roman" w:cstheme="minorHAnsi"/>
          <w:kern w:val="36"/>
          <w:lang w:eastAsia="fr-BE"/>
        </w:rPr>
      </w:pPr>
      <w:r>
        <w:rPr>
          <w:rFonts w:eastAsia="Times New Roman" w:cstheme="minorHAnsi"/>
          <w:kern w:val="36"/>
          <w:lang w:eastAsia="fr-BE"/>
        </w:rPr>
        <w:t xml:space="preserve">Selon </w:t>
      </w:r>
      <w:r w:rsidR="00FF1CB7">
        <w:rPr>
          <w:rFonts w:eastAsia="Times New Roman" w:cstheme="minorHAnsi"/>
          <w:kern w:val="36"/>
          <w:lang w:eastAsia="fr-BE"/>
        </w:rPr>
        <w:t xml:space="preserve">M. </w:t>
      </w:r>
      <w:r>
        <w:rPr>
          <w:rFonts w:eastAsia="Times New Roman" w:cstheme="minorHAnsi"/>
          <w:kern w:val="36"/>
          <w:lang w:eastAsia="fr-BE"/>
        </w:rPr>
        <w:t>Emile-Louis Bertrand, Directeur général du Port autonome de Liège, « </w:t>
      </w:r>
      <w:r w:rsidRPr="005F35E6">
        <w:rPr>
          <w:rFonts w:eastAsia="Times New Roman" w:cstheme="minorHAnsi"/>
          <w:i/>
          <w:iCs/>
          <w:kern w:val="36"/>
          <w:lang w:eastAsia="fr-BE"/>
        </w:rPr>
        <w:t xml:space="preserve">le Port autonome de Liège travaille en continu sur divers projets pour développer la multimodalité tel le développement de la plate-forme multimodale Liège </w:t>
      </w:r>
      <w:proofErr w:type="spellStart"/>
      <w:r w:rsidRPr="005F35E6">
        <w:rPr>
          <w:rFonts w:eastAsia="Times New Roman" w:cstheme="minorHAnsi"/>
          <w:i/>
          <w:iCs/>
          <w:kern w:val="36"/>
          <w:lang w:eastAsia="fr-BE"/>
        </w:rPr>
        <w:t>Trilogiport</w:t>
      </w:r>
      <w:proofErr w:type="spellEnd"/>
      <w:r w:rsidR="005F35E6" w:rsidRPr="005F35E6">
        <w:rPr>
          <w:rFonts w:eastAsia="Times New Roman" w:cstheme="minorHAnsi"/>
          <w:i/>
          <w:iCs/>
          <w:kern w:val="36"/>
          <w:lang w:eastAsia="fr-BE"/>
        </w:rPr>
        <w:t>, la nouvelle extension</w:t>
      </w:r>
      <w:r w:rsidR="00293B8A">
        <w:rPr>
          <w:rFonts w:eastAsia="Times New Roman" w:cstheme="minorHAnsi"/>
          <w:i/>
          <w:iCs/>
          <w:kern w:val="36"/>
          <w:lang w:eastAsia="fr-BE"/>
        </w:rPr>
        <w:t xml:space="preserve"> de 5</w:t>
      </w:r>
      <w:r w:rsidR="007D70AA">
        <w:rPr>
          <w:rFonts w:eastAsia="Times New Roman" w:cstheme="minorHAnsi"/>
          <w:i/>
          <w:iCs/>
          <w:kern w:val="36"/>
          <w:lang w:eastAsia="fr-BE"/>
        </w:rPr>
        <w:t>,8</w:t>
      </w:r>
      <w:r w:rsidR="00293B8A">
        <w:rPr>
          <w:rFonts w:eastAsia="Times New Roman" w:cstheme="minorHAnsi"/>
          <w:i/>
          <w:iCs/>
          <w:kern w:val="36"/>
          <w:lang w:eastAsia="fr-BE"/>
        </w:rPr>
        <w:t xml:space="preserve"> hectares</w:t>
      </w:r>
      <w:r w:rsidR="005F35E6" w:rsidRPr="005F35E6">
        <w:rPr>
          <w:rFonts w:eastAsia="Times New Roman" w:cstheme="minorHAnsi"/>
          <w:i/>
          <w:iCs/>
          <w:kern w:val="36"/>
          <w:lang w:eastAsia="fr-BE"/>
        </w:rPr>
        <w:t xml:space="preserve"> du terminal à conteneurs de Liège </w:t>
      </w:r>
      <w:proofErr w:type="spellStart"/>
      <w:r w:rsidR="005F35E6" w:rsidRPr="005F35E6">
        <w:rPr>
          <w:rFonts w:eastAsia="Times New Roman" w:cstheme="minorHAnsi"/>
          <w:i/>
          <w:iCs/>
          <w:kern w:val="36"/>
          <w:lang w:eastAsia="fr-BE"/>
        </w:rPr>
        <w:t>Trilogiport</w:t>
      </w:r>
      <w:proofErr w:type="spellEnd"/>
      <w:r w:rsidR="005F35E6" w:rsidRPr="005F35E6">
        <w:rPr>
          <w:rFonts w:eastAsia="Times New Roman" w:cstheme="minorHAnsi"/>
          <w:i/>
          <w:iCs/>
          <w:kern w:val="36"/>
          <w:lang w:eastAsia="fr-BE"/>
        </w:rPr>
        <w:t xml:space="preserve"> prévue en 2022, </w:t>
      </w:r>
      <w:r w:rsidRPr="005F35E6">
        <w:rPr>
          <w:rFonts w:eastAsia="Times New Roman" w:cstheme="minorHAnsi"/>
          <w:i/>
          <w:iCs/>
          <w:kern w:val="36"/>
          <w:lang w:eastAsia="fr-BE"/>
        </w:rPr>
        <w:t>ainsi que le développement de projets liés au rail et à la multimodalité. </w:t>
      </w:r>
      <w:r>
        <w:rPr>
          <w:rFonts w:eastAsia="Times New Roman" w:cstheme="minorHAnsi"/>
          <w:kern w:val="36"/>
          <w:lang w:eastAsia="fr-BE"/>
        </w:rPr>
        <w:t>»</w:t>
      </w:r>
    </w:p>
    <w:p w14:paraId="50D43D27" w14:textId="77777777" w:rsidR="00C76363" w:rsidRDefault="00C76363" w:rsidP="00213A30">
      <w:pPr>
        <w:shd w:val="clear" w:color="auto" w:fill="FFFFFF"/>
        <w:spacing w:after="0" w:line="240" w:lineRule="auto"/>
        <w:jc w:val="both"/>
        <w:outlineLvl w:val="0"/>
        <w:rPr>
          <w:rFonts w:eastAsia="Times New Roman" w:cstheme="minorHAnsi"/>
          <w:kern w:val="36"/>
          <w:lang w:eastAsia="fr-BE"/>
        </w:rPr>
      </w:pPr>
    </w:p>
    <w:p w14:paraId="69A8080D" w14:textId="24D6B497" w:rsidR="009443A6" w:rsidRDefault="009443A6" w:rsidP="00213A30">
      <w:pPr>
        <w:pStyle w:val="NormalWeb"/>
        <w:shd w:val="clear" w:color="auto" w:fill="FFFFFF"/>
        <w:spacing w:before="0" w:beforeAutospacing="0" w:after="0" w:afterAutospacing="0"/>
        <w:jc w:val="both"/>
        <w:rPr>
          <w:rFonts w:asciiTheme="minorHAnsi" w:hAnsiTheme="minorHAnsi"/>
          <w:sz w:val="22"/>
          <w:szCs w:val="22"/>
        </w:rPr>
      </w:pPr>
      <w:r w:rsidRPr="009443A6">
        <w:rPr>
          <w:rFonts w:asciiTheme="minorHAnsi" w:hAnsiTheme="minorHAnsi"/>
          <w:sz w:val="22"/>
          <w:szCs w:val="22"/>
        </w:rPr>
        <w:t xml:space="preserve">Le complexe portuaire liégeois, représente, selon la Banque nationale de Belgique, </w:t>
      </w:r>
      <w:r w:rsidR="00F94C21">
        <w:rPr>
          <w:rFonts w:asciiTheme="minorHAnsi" w:hAnsiTheme="minorHAnsi"/>
          <w:sz w:val="22"/>
          <w:szCs w:val="22"/>
        </w:rPr>
        <w:t>8.032</w:t>
      </w:r>
      <w:r w:rsidRPr="009443A6">
        <w:rPr>
          <w:rFonts w:asciiTheme="minorHAnsi" w:hAnsiTheme="minorHAnsi"/>
          <w:sz w:val="22"/>
          <w:szCs w:val="22"/>
        </w:rPr>
        <w:t xml:space="preserve"> emplois directs et </w:t>
      </w:r>
      <w:r w:rsidR="00F94C21">
        <w:rPr>
          <w:rFonts w:asciiTheme="minorHAnsi" w:hAnsiTheme="minorHAnsi"/>
          <w:sz w:val="22"/>
          <w:szCs w:val="22"/>
        </w:rPr>
        <w:t xml:space="preserve">10.828 </w:t>
      </w:r>
      <w:r w:rsidRPr="009443A6">
        <w:rPr>
          <w:rFonts w:asciiTheme="minorHAnsi" w:hAnsiTheme="minorHAnsi"/>
          <w:sz w:val="22"/>
          <w:szCs w:val="22"/>
        </w:rPr>
        <w:t>emplois indirects</w:t>
      </w:r>
      <w:r w:rsidR="009B7B72">
        <w:rPr>
          <w:rFonts w:asciiTheme="minorHAnsi" w:hAnsiTheme="minorHAnsi"/>
          <w:sz w:val="22"/>
          <w:szCs w:val="22"/>
        </w:rPr>
        <w:t>, soit un total de 18.860 emplois</w:t>
      </w:r>
      <w:r w:rsidRPr="009443A6">
        <w:rPr>
          <w:rFonts w:asciiTheme="minorHAnsi" w:hAnsiTheme="minorHAnsi"/>
          <w:sz w:val="22"/>
          <w:szCs w:val="22"/>
        </w:rPr>
        <w:t xml:space="preserve"> générés par l’ensemble des entreprises concessionnaires du Port autonome de Liège. Le Port de Liège demeure un levier de développement socio-économique important pour la région. Il reste un acteur incontournable du développement durable : 77 % des trafics manutentionnés sur les diverses zones portuaires transitent par la voie d’eau, ce qui constitue une réelle performance au niveau européen. Aujourd’hui, les modes de transport tels que le transport fluvial ou ferroviaire doivent faire partie d’une logistique durable en complémentarité avec la route.</w:t>
      </w:r>
    </w:p>
    <w:p w14:paraId="5BDAD1A8" w14:textId="74A9FAD6" w:rsidR="00213A30" w:rsidRDefault="00213A30" w:rsidP="00213A30">
      <w:pPr>
        <w:pStyle w:val="NormalWeb"/>
        <w:shd w:val="clear" w:color="auto" w:fill="FFFFFF"/>
        <w:spacing w:before="0" w:beforeAutospacing="0" w:after="0" w:afterAutospacing="0"/>
        <w:jc w:val="both"/>
        <w:rPr>
          <w:rFonts w:asciiTheme="minorHAnsi" w:hAnsiTheme="minorHAnsi"/>
          <w:sz w:val="22"/>
          <w:szCs w:val="22"/>
        </w:rPr>
      </w:pPr>
    </w:p>
    <w:p w14:paraId="2E87E6AB" w14:textId="79ADFCBE" w:rsidR="00F67CF7" w:rsidRPr="0014530C" w:rsidRDefault="009443A6" w:rsidP="00213A30">
      <w:pPr>
        <w:pStyle w:val="NormalWeb"/>
        <w:spacing w:before="0" w:beforeAutospacing="0" w:after="0" w:afterAutospacing="0"/>
        <w:jc w:val="both"/>
        <w:rPr>
          <w:rFonts w:cstheme="minorHAnsi"/>
          <w:b/>
          <w:bCs/>
          <w:kern w:val="36"/>
        </w:rPr>
      </w:pPr>
      <w:r w:rsidRPr="009443A6">
        <w:rPr>
          <w:rFonts w:asciiTheme="minorHAnsi" w:hAnsiTheme="minorHAnsi" w:cs="Arial"/>
          <w:sz w:val="22"/>
          <w:szCs w:val="22"/>
        </w:rPr>
        <w:t xml:space="preserve">Le Port de Liège gère 33 zones portuaires en région liégeoise. Le domaine portuaire liégeois représente 382 hectares, où sont installées près d’une centaine d’entreprises. </w:t>
      </w:r>
    </w:p>
    <w:p w14:paraId="70250605" w14:textId="6A47C7F6" w:rsidR="00C016ED" w:rsidRDefault="00C016ED" w:rsidP="00213A30">
      <w:pPr>
        <w:spacing w:after="0" w:line="240" w:lineRule="auto"/>
        <w:jc w:val="both"/>
      </w:pPr>
    </w:p>
    <w:p w14:paraId="5ECF1CF4" w14:textId="4A96AEC2" w:rsidR="00213A30" w:rsidRDefault="00213A30" w:rsidP="00213A30">
      <w:pPr>
        <w:spacing w:after="0" w:line="240" w:lineRule="auto"/>
        <w:jc w:val="both"/>
      </w:pPr>
    </w:p>
    <w:p w14:paraId="11BB1475" w14:textId="510C8706" w:rsidR="00213A30" w:rsidRDefault="00213A30" w:rsidP="00213A30">
      <w:pPr>
        <w:spacing w:after="0" w:line="240" w:lineRule="auto"/>
        <w:jc w:val="both"/>
      </w:pPr>
    </w:p>
    <w:p w14:paraId="68A4C5B2" w14:textId="77777777" w:rsidR="00213A30" w:rsidRDefault="00213A30" w:rsidP="00213A30">
      <w:pPr>
        <w:spacing w:after="0" w:line="240" w:lineRule="auto"/>
        <w:jc w:val="both"/>
      </w:pPr>
    </w:p>
    <w:p w14:paraId="7715D312" w14:textId="48426A6D" w:rsidR="002F2864" w:rsidRPr="00213A30" w:rsidRDefault="002F2864" w:rsidP="00213A30">
      <w:pPr>
        <w:pStyle w:val="Chapitre"/>
        <w:spacing w:after="0" w:line="240" w:lineRule="auto"/>
        <w:jc w:val="center"/>
        <w:rPr>
          <w:rFonts w:cs="Arial"/>
        </w:rPr>
      </w:pPr>
      <w:r>
        <w:rPr>
          <w:rFonts w:cs="Arial"/>
        </w:rPr>
        <w:t>Rapport détaillé des activités</w:t>
      </w:r>
    </w:p>
    <w:p w14:paraId="254E4691" w14:textId="77777777" w:rsidR="00213A30" w:rsidRDefault="00213A30" w:rsidP="00213A30">
      <w:pPr>
        <w:pStyle w:val="Body"/>
        <w:spacing w:after="0"/>
        <w:rPr>
          <w:sz w:val="22"/>
          <w:szCs w:val="22"/>
        </w:rPr>
      </w:pPr>
    </w:p>
    <w:p w14:paraId="65861559" w14:textId="2CCFB3DD" w:rsidR="002F2864" w:rsidRPr="002D1856" w:rsidRDefault="00224A6B" w:rsidP="00213A30">
      <w:pPr>
        <w:pStyle w:val="Chapitre"/>
        <w:spacing w:after="0" w:line="240" w:lineRule="auto"/>
        <w:rPr>
          <w:rFonts w:cs="Arial"/>
        </w:rPr>
      </w:pPr>
      <w:r>
        <w:rPr>
          <w:rFonts w:cs="Arial"/>
        </w:rPr>
        <w:t xml:space="preserve">1. </w:t>
      </w:r>
      <w:r w:rsidR="002F2864">
        <w:rPr>
          <w:rFonts w:cs="Arial"/>
        </w:rPr>
        <w:t>Le chiffre d’affaires</w:t>
      </w:r>
    </w:p>
    <w:p w14:paraId="63EDDFEE" w14:textId="77777777" w:rsidR="002F2864" w:rsidRDefault="002F2864" w:rsidP="00213A30">
      <w:pPr>
        <w:pStyle w:val="Body"/>
        <w:spacing w:after="0"/>
        <w:rPr>
          <w:sz w:val="22"/>
          <w:szCs w:val="22"/>
        </w:rPr>
      </w:pPr>
    </w:p>
    <w:p w14:paraId="6CABF91F" w14:textId="46F5DC4D" w:rsidR="00F17BFF" w:rsidRDefault="00F17BFF" w:rsidP="00213A30">
      <w:pPr>
        <w:spacing w:after="0" w:line="240" w:lineRule="auto"/>
        <w:jc w:val="both"/>
      </w:pPr>
      <w:r w:rsidRPr="006A7457">
        <w:t xml:space="preserve">Le chiffre d’affaires du Port autonome de Liège </w:t>
      </w:r>
      <w:r w:rsidR="00421E1E">
        <w:t>s’élève</w:t>
      </w:r>
      <w:r w:rsidRPr="006A7457">
        <w:t xml:space="preserve"> à </w:t>
      </w:r>
      <w:r w:rsidR="00A20666">
        <w:t xml:space="preserve">4.930.548,20 </w:t>
      </w:r>
      <w:proofErr w:type="gramStart"/>
      <w:r w:rsidR="00A20666">
        <w:t xml:space="preserve">€ </w:t>
      </w:r>
      <w:r w:rsidRPr="006A7457">
        <w:t>,</w:t>
      </w:r>
      <w:proofErr w:type="gramEnd"/>
      <w:r w:rsidRPr="006A7457">
        <w:t xml:space="preserve"> soit une </w:t>
      </w:r>
      <w:r w:rsidR="00A20666">
        <w:t xml:space="preserve">augmentation de </w:t>
      </w:r>
      <w:r w:rsidRPr="006A7457">
        <w:t>de</w:t>
      </w:r>
      <w:r w:rsidR="00A20666">
        <w:t xml:space="preserve"> </w:t>
      </w:r>
      <w:r w:rsidR="00630280">
        <w:t>11</w:t>
      </w:r>
      <w:r w:rsidR="00A20666">
        <w:t xml:space="preserve"> </w:t>
      </w:r>
      <w:r w:rsidRPr="006A7457">
        <w:t>%</w:t>
      </w:r>
      <w:r w:rsidR="00733EF2">
        <w:t xml:space="preserve"> </w:t>
      </w:r>
      <w:r w:rsidRPr="006A7457">
        <w:t>par rapport à l’année 20</w:t>
      </w:r>
      <w:r w:rsidR="00A20666">
        <w:t xml:space="preserve">20. </w:t>
      </w:r>
    </w:p>
    <w:p w14:paraId="61115594" w14:textId="710D0646" w:rsidR="00213A30" w:rsidRDefault="00213A30" w:rsidP="00213A30">
      <w:pPr>
        <w:spacing w:after="0" w:line="240" w:lineRule="auto"/>
        <w:jc w:val="both"/>
      </w:pPr>
    </w:p>
    <w:p w14:paraId="1BB6A0C5" w14:textId="77777777" w:rsidR="00213A30" w:rsidRDefault="00213A30" w:rsidP="00213A30">
      <w:pPr>
        <w:spacing w:after="0" w:line="240" w:lineRule="auto"/>
        <w:jc w:val="both"/>
      </w:pPr>
    </w:p>
    <w:p w14:paraId="2AD6F670" w14:textId="7768B802" w:rsidR="002F2864" w:rsidRPr="002D1856" w:rsidRDefault="002F2864" w:rsidP="00213A30">
      <w:pPr>
        <w:pStyle w:val="Chapitre"/>
        <w:spacing w:after="0" w:line="240" w:lineRule="auto"/>
        <w:rPr>
          <w:rFonts w:cs="Arial"/>
        </w:rPr>
      </w:pPr>
      <w:r>
        <w:rPr>
          <w:rFonts w:cs="Arial"/>
        </w:rPr>
        <w:t>2. Les tonnages fluviaux</w:t>
      </w:r>
    </w:p>
    <w:p w14:paraId="0F460A5D" w14:textId="77777777" w:rsidR="009F2508" w:rsidRDefault="009F2508" w:rsidP="00213A30">
      <w:pPr>
        <w:spacing w:after="0" w:line="240" w:lineRule="auto"/>
        <w:jc w:val="both"/>
      </w:pPr>
    </w:p>
    <w:p w14:paraId="0D08590C" w14:textId="77777777" w:rsidR="009F2508" w:rsidRPr="00B71D50" w:rsidRDefault="009F2508" w:rsidP="00213A30">
      <w:pPr>
        <w:spacing w:after="0" w:line="240" w:lineRule="auto"/>
        <w:jc w:val="both"/>
        <w:rPr>
          <w:bCs/>
        </w:rPr>
      </w:pPr>
      <w:r w:rsidRPr="002A7DB4">
        <w:t>Les tonnages voie d’eau</w:t>
      </w:r>
      <w:r>
        <w:t xml:space="preserve"> </w:t>
      </w:r>
      <w:r w:rsidRPr="002A7DB4">
        <w:t>passent de</w:t>
      </w:r>
      <w:r>
        <w:t xml:space="preserve"> 13.975.321 tonnes en 2020 à 14.924.899 tonnes en 2021,</w:t>
      </w:r>
      <w:r w:rsidRPr="002A7DB4">
        <w:t xml:space="preserve"> soit une </w:t>
      </w:r>
      <w:r>
        <w:t>augmentation de 942.578</w:t>
      </w:r>
      <w:r w:rsidRPr="00B71D50">
        <w:t xml:space="preserve"> tonnes</w:t>
      </w:r>
      <w:r w:rsidRPr="00B71D50">
        <w:rPr>
          <w:bCs/>
        </w:rPr>
        <w:t xml:space="preserve"> (</w:t>
      </w:r>
      <w:r>
        <w:rPr>
          <w:bCs/>
        </w:rPr>
        <w:t xml:space="preserve">+7 </w:t>
      </w:r>
      <w:r w:rsidRPr="00B71D50">
        <w:rPr>
          <w:bCs/>
        </w:rPr>
        <w:t xml:space="preserve">%). </w:t>
      </w:r>
    </w:p>
    <w:p w14:paraId="3E3AE6DF" w14:textId="77777777" w:rsidR="002F2864" w:rsidRDefault="002F2864" w:rsidP="00213A30">
      <w:pPr>
        <w:spacing w:after="0" w:line="240" w:lineRule="auto"/>
        <w:jc w:val="both"/>
      </w:pPr>
    </w:p>
    <w:p w14:paraId="610F989D" w14:textId="74CDCA49" w:rsidR="009F2508" w:rsidRPr="002F2864" w:rsidRDefault="009F2508" w:rsidP="00213A30">
      <w:pPr>
        <w:pStyle w:val="Paragraphedeliste"/>
        <w:numPr>
          <w:ilvl w:val="1"/>
          <w:numId w:val="17"/>
        </w:numPr>
        <w:spacing w:after="0" w:line="240" w:lineRule="auto"/>
        <w:jc w:val="both"/>
        <w:rPr>
          <w:b/>
          <w:bCs/>
          <w:i/>
        </w:rPr>
      </w:pPr>
      <w:r w:rsidRPr="002F2864">
        <w:rPr>
          <w:b/>
          <w:bCs/>
          <w:i/>
        </w:rPr>
        <w:t>Catégories de marchandises</w:t>
      </w:r>
    </w:p>
    <w:p w14:paraId="2E5EA371" w14:textId="77777777" w:rsidR="009F2508" w:rsidRDefault="009F2508" w:rsidP="00213A30">
      <w:pPr>
        <w:spacing w:after="0" w:line="240" w:lineRule="auto"/>
        <w:jc w:val="both"/>
      </w:pPr>
    </w:p>
    <w:tbl>
      <w:tblPr>
        <w:tblW w:w="9638" w:type="dxa"/>
        <w:jc w:val="center"/>
        <w:tblBorders>
          <w:top w:val="single" w:sz="12" w:space="0" w:color="000000"/>
          <w:bottom w:val="single" w:sz="12" w:space="0" w:color="000000"/>
          <w:insideH w:val="single" w:sz="6" w:space="0" w:color="000000"/>
        </w:tblBorders>
        <w:tblLayout w:type="fixed"/>
        <w:tblLook w:val="00A0" w:firstRow="1" w:lastRow="0" w:firstColumn="1" w:lastColumn="0" w:noHBand="0" w:noVBand="0"/>
      </w:tblPr>
      <w:tblGrid>
        <w:gridCol w:w="3731"/>
        <w:gridCol w:w="1741"/>
        <w:gridCol w:w="1741"/>
        <w:gridCol w:w="1567"/>
        <w:gridCol w:w="858"/>
      </w:tblGrid>
      <w:tr w:rsidR="009F2508" w:rsidRPr="001511A3" w14:paraId="4CB22C0C" w14:textId="77777777" w:rsidTr="004E21FB">
        <w:trPr>
          <w:trHeight w:val="398"/>
          <w:jc w:val="center"/>
        </w:trPr>
        <w:tc>
          <w:tcPr>
            <w:tcW w:w="3731" w:type="dxa"/>
            <w:tcBorders>
              <w:bottom w:val="single" w:sz="12" w:space="0" w:color="000000"/>
            </w:tcBorders>
            <w:shd w:val="clear" w:color="auto" w:fill="auto"/>
          </w:tcPr>
          <w:p w14:paraId="7FB0E8CF" w14:textId="77777777" w:rsidR="009F2508" w:rsidRPr="001511A3" w:rsidRDefault="009F2508" w:rsidP="00213A30">
            <w:pPr>
              <w:tabs>
                <w:tab w:val="left" w:pos="2552"/>
              </w:tabs>
              <w:spacing w:after="0" w:line="240" w:lineRule="auto"/>
              <w:jc w:val="center"/>
              <w:rPr>
                <w:b/>
                <w:bCs/>
                <w:i/>
                <w:sz w:val="18"/>
                <w:szCs w:val="18"/>
              </w:rPr>
            </w:pPr>
            <w:r w:rsidRPr="001511A3">
              <w:rPr>
                <w:b/>
                <w:bCs/>
                <w:i/>
                <w:sz w:val="18"/>
                <w:szCs w:val="18"/>
              </w:rPr>
              <w:t>CATEGORIES DE MARCHANDISES</w:t>
            </w:r>
          </w:p>
        </w:tc>
        <w:tc>
          <w:tcPr>
            <w:tcW w:w="1741" w:type="dxa"/>
            <w:tcBorders>
              <w:bottom w:val="single" w:sz="12" w:space="0" w:color="000000"/>
            </w:tcBorders>
          </w:tcPr>
          <w:p w14:paraId="40E04755" w14:textId="77777777" w:rsidR="009F2508" w:rsidRPr="001511A3" w:rsidRDefault="009F2508" w:rsidP="00213A30">
            <w:pPr>
              <w:tabs>
                <w:tab w:val="left" w:pos="2552"/>
              </w:tabs>
              <w:spacing w:after="0" w:line="240" w:lineRule="auto"/>
              <w:jc w:val="center"/>
              <w:rPr>
                <w:b/>
                <w:bCs/>
                <w:i/>
                <w:sz w:val="18"/>
                <w:szCs w:val="18"/>
              </w:rPr>
            </w:pPr>
            <w:r w:rsidRPr="001511A3">
              <w:rPr>
                <w:b/>
                <w:bCs/>
                <w:i/>
                <w:sz w:val="18"/>
                <w:szCs w:val="18"/>
              </w:rPr>
              <w:t>2020</w:t>
            </w:r>
          </w:p>
        </w:tc>
        <w:tc>
          <w:tcPr>
            <w:tcW w:w="1741" w:type="dxa"/>
            <w:tcBorders>
              <w:bottom w:val="single" w:sz="12" w:space="0" w:color="000000"/>
            </w:tcBorders>
          </w:tcPr>
          <w:p w14:paraId="771D64B6" w14:textId="77777777" w:rsidR="009F2508" w:rsidRPr="001511A3" w:rsidRDefault="009F2508" w:rsidP="00213A30">
            <w:pPr>
              <w:tabs>
                <w:tab w:val="left" w:pos="2552"/>
              </w:tabs>
              <w:spacing w:after="0" w:line="240" w:lineRule="auto"/>
              <w:jc w:val="center"/>
              <w:rPr>
                <w:b/>
                <w:bCs/>
                <w:i/>
                <w:sz w:val="18"/>
                <w:szCs w:val="18"/>
              </w:rPr>
            </w:pPr>
            <w:r w:rsidRPr="001511A3">
              <w:rPr>
                <w:b/>
                <w:bCs/>
                <w:i/>
                <w:sz w:val="18"/>
                <w:szCs w:val="18"/>
              </w:rPr>
              <w:t>2021</w:t>
            </w:r>
          </w:p>
        </w:tc>
        <w:tc>
          <w:tcPr>
            <w:tcW w:w="1567" w:type="dxa"/>
            <w:tcBorders>
              <w:bottom w:val="single" w:sz="12" w:space="0" w:color="000000"/>
            </w:tcBorders>
            <w:shd w:val="clear" w:color="auto" w:fill="auto"/>
          </w:tcPr>
          <w:p w14:paraId="3DAD9C58" w14:textId="77777777" w:rsidR="009F2508" w:rsidRPr="001511A3" w:rsidRDefault="009F2508" w:rsidP="00213A30">
            <w:pPr>
              <w:tabs>
                <w:tab w:val="left" w:pos="2552"/>
              </w:tabs>
              <w:spacing w:after="0" w:line="240" w:lineRule="auto"/>
              <w:jc w:val="center"/>
              <w:rPr>
                <w:b/>
                <w:bCs/>
                <w:i/>
                <w:sz w:val="18"/>
                <w:szCs w:val="18"/>
              </w:rPr>
            </w:pPr>
            <w:r w:rsidRPr="001511A3">
              <w:rPr>
                <w:b/>
                <w:bCs/>
                <w:i/>
                <w:sz w:val="18"/>
                <w:szCs w:val="18"/>
              </w:rPr>
              <w:t>Différence</w:t>
            </w:r>
          </w:p>
        </w:tc>
        <w:tc>
          <w:tcPr>
            <w:tcW w:w="858" w:type="dxa"/>
            <w:tcBorders>
              <w:bottom w:val="single" w:sz="12" w:space="0" w:color="000000"/>
            </w:tcBorders>
            <w:shd w:val="clear" w:color="auto" w:fill="auto"/>
          </w:tcPr>
          <w:p w14:paraId="4853AA1E" w14:textId="77777777" w:rsidR="009F2508" w:rsidRPr="001511A3" w:rsidRDefault="009F2508" w:rsidP="00213A30">
            <w:pPr>
              <w:tabs>
                <w:tab w:val="left" w:pos="2552"/>
              </w:tabs>
              <w:spacing w:after="0" w:line="240" w:lineRule="auto"/>
              <w:jc w:val="center"/>
              <w:rPr>
                <w:b/>
                <w:bCs/>
                <w:i/>
                <w:sz w:val="18"/>
                <w:szCs w:val="18"/>
              </w:rPr>
            </w:pPr>
            <w:r w:rsidRPr="001511A3">
              <w:rPr>
                <w:b/>
                <w:bCs/>
                <w:i/>
                <w:sz w:val="18"/>
                <w:szCs w:val="18"/>
              </w:rPr>
              <w:t>%</w:t>
            </w:r>
          </w:p>
        </w:tc>
      </w:tr>
      <w:tr w:rsidR="009F2508" w:rsidRPr="001511A3" w14:paraId="6EDB9861" w14:textId="77777777" w:rsidTr="004E21FB">
        <w:trPr>
          <w:trHeight w:val="398"/>
          <w:jc w:val="center"/>
        </w:trPr>
        <w:tc>
          <w:tcPr>
            <w:tcW w:w="3731" w:type="dxa"/>
            <w:shd w:val="clear" w:color="auto" w:fill="auto"/>
          </w:tcPr>
          <w:p w14:paraId="6A509875"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Produits de l’agriculture</w:t>
            </w:r>
          </w:p>
        </w:tc>
        <w:tc>
          <w:tcPr>
            <w:tcW w:w="1741" w:type="dxa"/>
          </w:tcPr>
          <w:p w14:paraId="30F5A103"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429.262</w:t>
            </w:r>
          </w:p>
        </w:tc>
        <w:tc>
          <w:tcPr>
            <w:tcW w:w="1741" w:type="dxa"/>
          </w:tcPr>
          <w:p w14:paraId="5A2EC821"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515.743</w:t>
            </w:r>
          </w:p>
        </w:tc>
        <w:tc>
          <w:tcPr>
            <w:tcW w:w="1567" w:type="dxa"/>
            <w:shd w:val="clear" w:color="auto" w:fill="auto"/>
          </w:tcPr>
          <w:p w14:paraId="4FC0843C"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86.481</w:t>
            </w:r>
          </w:p>
        </w:tc>
        <w:tc>
          <w:tcPr>
            <w:tcW w:w="858" w:type="dxa"/>
            <w:shd w:val="clear" w:color="auto" w:fill="auto"/>
          </w:tcPr>
          <w:p w14:paraId="279DE15E"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+20</w:t>
            </w:r>
          </w:p>
        </w:tc>
      </w:tr>
      <w:tr w:rsidR="009F2508" w:rsidRPr="001511A3" w14:paraId="49E83A0C" w14:textId="77777777" w:rsidTr="004E21FB">
        <w:trPr>
          <w:trHeight w:val="398"/>
          <w:jc w:val="center"/>
        </w:trPr>
        <w:tc>
          <w:tcPr>
            <w:tcW w:w="3731" w:type="dxa"/>
            <w:shd w:val="clear" w:color="auto" w:fill="auto"/>
          </w:tcPr>
          <w:p w14:paraId="7971BB25"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Houille et lignite</w:t>
            </w:r>
          </w:p>
        </w:tc>
        <w:tc>
          <w:tcPr>
            <w:tcW w:w="1741" w:type="dxa"/>
          </w:tcPr>
          <w:p w14:paraId="1B2568AA"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1.106.612</w:t>
            </w:r>
          </w:p>
        </w:tc>
        <w:tc>
          <w:tcPr>
            <w:tcW w:w="1741" w:type="dxa"/>
          </w:tcPr>
          <w:p w14:paraId="052CFCBB"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1.406.199</w:t>
            </w:r>
          </w:p>
        </w:tc>
        <w:tc>
          <w:tcPr>
            <w:tcW w:w="1567" w:type="dxa"/>
            <w:shd w:val="clear" w:color="auto" w:fill="auto"/>
          </w:tcPr>
          <w:p w14:paraId="29E8438A"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299.587</w:t>
            </w:r>
          </w:p>
        </w:tc>
        <w:tc>
          <w:tcPr>
            <w:tcW w:w="858" w:type="dxa"/>
            <w:shd w:val="clear" w:color="auto" w:fill="auto"/>
          </w:tcPr>
          <w:p w14:paraId="4E73C20D"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+27</w:t>
            </w:r>
          </w:p>
        </w:tc>
      </w:tr>
      <w:tr w:rsidR="009F2508" w:rsidRPr="001511A3" w14:paraId="41B63E6C" w14:textId="77777777" w:rsidTr="004E21FB">
        <w:trPr>
          <w:trHeight w:val="398"/>
          <w:jc w:val="center"/>
        </w:trPr>
        <w:tc>
          <w:tcPr>
            <w:tcW w:w="3731" w:type="dxa"/>
            <w:shd w:val="clear" w:color="auto" w:fill="auto"/>
          </w:tcPr>
          <w:p w14:paraId="6D07C994"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Minerais</w:t>
            </w:r>
          </w:p>
        </w:tc>
        <w:tc>
          <w:tcPr>
            <w:tcW w:w="1741" w:type="dxa"/>
          </w:tcPr>
          <w:p w14:paraId="5ECD3032"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0</w:t>
            </w:r>
          </w:p>
        </w:tc>
        <w:tc>
          <w:tcPr>
            <w:tcW w:w="1741" w:type="dxa"/>
          </w:tcPr>
          <w:p w14:paraId="00BECAB4"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0</w:t>
            </w:r>
          </w:p>
        </w:tc>
        <w:tc>
          <w:tcPr>
            <w:tcW w:w="1567" w:type="dxa"/>
            <w:shd w:val="clear" w:color="auto" w:fill="auto"/>
          </w:tcPr>
          <w:p w14:paraId="32731B61"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0</w:t>
            </w:r>
          </w:p>
        </w:tc>
        <w:tc>
          <w:tcPr>
            <w:tcW w:w="858" w:type="dxa"/>
            <w:shd w:val="clear" w:color="auto" w:fill="auto"/>
          </w:tcPr>
          <w:p w14:paraId="04EE36BA"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w:t>
            </w:r>
          </w:p>
        </w:tc>
      </w:tr>
      <w:tr w:rsidR="009F2508" w:rsidRPr="001511A3" w14:paraId="7F01B969" w14:textId="77777777" w:rsidTr="004E21FB">
        <w:trPr>
          <w:trHeight w:val="398"/>
          <w:jc w:val="center"/>
        </w:trPr>
        <w:tc>
          <w:tcPr>
            <w:tcW w:w="3731" w:type="dxa"/>
            <w:shd w:val="clear" w:color="auto" w:fill="auto"/>
          </w:tcPr>
          <w:p w14:paraId="078583F3"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Produits alimentaires</w:t>
            </w:r>
          </w:p>
        </w:tc>
        <w:tc>
          <w:tcPr>
            <w:tcW w:w="1741" w:type="dxa"/>
          </w:tcPr>
          <w:p w14:paraId="2823C0D1"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0</w:t>
            </w:r>
          </w:p>
        </w:tc>
        <w:tc>
          <w:tcPr>
            <w:tcW w:w="1741" w:type="dxa"/>
          </w:tcPr>
          <w:p w14:paraId="7EA8ECF6"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0</w:t>
            </w:r>
          </w:p>
        </w:tc>
        <w:tc>
          <w:tcPr>
            <w:tcW w:w="1567" w:type="dxa"/>
            <w:shd w:val="clear" w:color="auto" w:fill="auto"/>
          </w:tcPr>
          <w:p w14:paraId="31978DCF"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0</w:t>
            </w:r>
          </w:p>
        </w:tc>
        <w:tc>
          <w:tcPr>
            <w:tcW w:w="858" w:type="dxa"/>
            <w:shd w:val="clear" w:color="auto" w:fill="auto"/>
          </w:tcPr>
          <w:p w14:paraId="1E27FC2B"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w:t>
            </w:r>
          </w:p>
        </w:tc>
      </w:tr>
      <w:tr w:rsidR="009F2508" w:rsidRPr="001511A3" w14:paraId="7A4E3734" w14:textId="77777777" w:rsidTr="004E21FB">
        <w:trPr>
          <w:trHeight w:val="398"/>
          <w:jc w:val="center"/>
        </w:trPr>
        <w:tc>
          <w:tcPr>
            <w:tcW w:w="3731" w:type="dxa"/>
            <w:shd w:val="clear" w:color="auto" w:fill="auto"/>
          </w:tcPr>
          <w:p w14:paraId="0032EF67"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Bois et produits du bois</w:t>
            </w:r>
          </w:p>
        </w:tc>
        <w:tc>
          <w:tcPr>
            <w:tcW w:w="1741" w:type="dxa"/>
          </w:tcPr>
          <w:p w14:paraId="3D16F871"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205.476</w:t>
            </w:r>
          </w:p>
        </w:tc>
        <w:tc>
          <w:tcPr>
            <w:tcW w:w="1741" w:type="dxa"/>
          </w:tcPr>
          <w:p w14:paraId="3545DF78"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26.066</w:t>
            </w:r>
          </w:p>
        </w:tc>
        <w:tc>
          <w:tcPr>
            <w:tcW w:w="1567" w:type="dxa"/>
            <w:shd w:val="clear" w:color="auto" w:fill="auto"/>
          </w:tcPr>
          <w:p w14:paraId="549ACD58"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-179.410</w:t>
            </w:r>
          </w:p>
        </w:tc>
        <w:tc>
          <w:tcPr>
            <w:tcW w:w="858" w:type="dxa"/>
            <w:shd w:val="clear" w:color="auto" w:fill="auto"/>
          </w:tcPr>
          <w:p w14:paraId="51C47F23"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-87</w:t>
            </w:r>
          </w:p>
        </w:tc>
      </w:tr>
      <w:tr w:rsidR="009F2508" w:rsidRPr="001511A3" w14:paraId="63ECB027" w14:textId="77777777" w:rsidTr="004E21FB">
        <w:trPr>
          <w:trHeight w:val="398"/>
          <w:jc w:val="center"/>
        </w:trPr>
        <w:tc>
          <w:tcPr>
            <w:tcW w:w="3731" w:type="dxa"/>
            <w:shd w:val="clear" w:color="auto" w:fill="auto"/>
          </w:tcPr>
          <w:p w14:paraId="25A8CFC3"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Coke et produits pétroliers</w:t>
            </w:r>
          </w:p>
        </w:tc>
        <w:tc>
          <w:tcPr>
            <w:tcW w:w="1741" w:type="dxa"/>
          </w:tcPr>
          <w:p w14:paraId="583727B5"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2.865.764</w:t>
            </w:r>
          </w:p>
        </w:tc>
        <w:tc>
          <w:tcPr>
            <w:tcW w:w="1741" w:type="dxa"/>
          </w:tcPr>
          <w:p w14:paraId="56FB299D"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2.987.566</w:t>
            </w:r>
          </w:p>
        </w:tc>
        <w:tc>
          <w:tcPr>
            <w:tcW w:w="1567" w:type="dxa"/>
            <w:shd w:val="clear" w:color="auto" w:fill="auto"/>
          </w:tcPr>
          <w:p w14:paraId="7C784439"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121.802</w:t>
            </w:r>
          </w:p>
        </w:tc>
        <w:tc>
          <w:tcPr>
            <w:tcW w:w="858" w:type="dxa"/>
            <w:shd w:val="clear" w:color="auto" w:fill="auto"/>
          </w:tcPr>
          <w:p w14:paraId="2CDE36E5"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+4</w:t>
            </w:r>
          </w:p>
        </w:tc>
      </w:tr>
      <w:tr w:rsidR="009F2508" w:rsidRPr="001511A3" w14:paraId="0387F6C0" w14:textId="77777777" w:rsidTr="004E21FB">
        <w:trPr>
          <w:trHeight w:val="398"/>
          <w:jc w:val="center"/>
        </w:trPr>
        <w:tc>
          <w:tcPr>
            <w:tcW w:w="3731" w:type="dxa"/>
            <w:shd w:val="clear" w:color="auto" w:fill="auto"/>
          </w:tcPr>
          <w:p w14:paraId="0A2EB485"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Produits chimiques</w:t>
            </w:r>
          </w:p>
        </w:tc>
        <w:tc>
          <w:tcPr>
            <w:tcW w:w="1741" w:type="dxa"/>
          </w:tcPr>
          <w:p w14:paraId="3CCFF875"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327.100</w:t>
            </w:r>
          </w:p>
        </w:tc>
        <w:tc>
          <w:tcPr>
            <w:tcW w:w="1741" w:type="dxa"/>
          </w:tcPr>
          <w:p w14:paraId="117B6571"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363.367</w:t>
            </w:r>
          </w:p>
        </w:tc>
        <w:tc>
          <w:tcPr>
            <w:tcW w:w="1567" w:type="dxa"/>
            <w:shd w:val="clear" w:color="auto" w:fill="auto"/>
          </w:tcPr>
          <w:p w14:paraId="45EF57B9"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36.267</w:t>
            </w:r>
          </w:p>
        </w:tc>
        <w:tc>
          <w:tcPr>
            <w:tcW w:w="858" w:type="dxa"/>
            <w:shd w:val="clear" w:color="auto" w:fill="auto"/>
          </w:tcPr>
          <w:p w14:paraId="0A052C7A"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+11</w:t>
            </w:r>
          </w:p>
        </w:tc>
      </w:tr>
      <w:tr w:rsidR="009F2508" w:rsidRPr="001511A3" w14:paraId="0F497902" w14:textId="77777777" w:rsidTr="004E21FB">
        <w:trPr>
          <w:trHeight w:val="398"/>
          <w:jc w:val="center"/>
        </w:trPr>
        <w:tc>
          <w:tcPr>
            <w:tcW w:w="3731" w:type="dxa"/>
            <w:shd w:val="clear" w:color="auto" w:fill="auto"/>
          </w:tcPr>
          <w:p w14:paraId="1211E098"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Produits minéraux non métalliques</w:t>
            </w:r>
          </w:p>
        </w:tc>
        <w:tc>
          <w:tcPr>
            <w:tcW w:w="1741" w:type="dxa"/>
          </w:tcPr>
          <w:p w14:paraId="52E1ED93"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4.940.162</w:t>
            </w:r>
          </w:p>
        </w:tc>
        <w:tc>
          <w:tcPr>
            <w:tcW w:w="1741" w:type="dxa"/>
          </w:tcPr>
          <w:p w14:paraId="40640FBF"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5.142.920</w:t>
            </w:r>
          </w:p>
        </w:tc>
        <w:tc>
          <w:tcPr>
            <w:tcW w:w="1567" w:type="dxa"/>
            <w:shd w:val="clear" w:color="auto" w:fill="auto"/>
          </w:tcPr>
          <w:p w14:paraId="59BCE914"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202.758</w:t>
            </w:r>
          </w:p>
        </w:tc>
        <w:tc>
          <w:tcPr>
            <w:tcW w:w="858" w:type="dxa"/>
            <w:shd w:val="clear" w:color="auto" w:fill="auto"/>
          </w:tcPr>
          <w:p w14:paraId="3F46842D"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+4</w:t>
            </w:r>
          </w:p>
        </w:tc>
      </w:tr>
      <w:tr w:rsidR="009F2508" w:rsidRPr="001511A3" w14:paraId="6C189164" w14:textId="77777777" w:rsidTr="004E21FB">
        <w:trPr>
          <w:trHeight w:val="398"/>
          <w:jc w:val="center"/>
        </w:trPr>
        <w:tc>
          <w:tcPr>
            <w:tcW w:w="3731" w:type="dxa"/>
            <w:shd w:val="clear" w:color="auto" w:fill="auto"/>
          </w:tcPr>
          <w:p w14:paraId="10B40038"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Métaux</w:t>
            </w:r>
          </w:p>
        </w:tc>
        <w:tc>
          <w:tcPr>
            <w:tcW w:w="1741" w:type="dxa"/>
          </w:tcPr>
          <w:p w14:paraId="64792A8D"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1.060.488</w:t>
            </w:r>
          </w:p>
        </w:tc>
        <w:tc>
          <w:tcPr>
            <w:tcW w:w="1741" w:type="dxa"/>
          </w:tcPr>
          <w:p w14:paraId="176244A2"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1.231.098</w:t>
            </w:r>
          </w:p>
        </w:tc>
        <w:tc>
          <w:tcPr>
            <w:tcW w:w="1567" w:type="dxa"/>
            <w:shd w:val="clear" w:color="auto" w:fill="auto"/>
          </w:tcPr>
          <w:p w14:paraId="2FEFB36C"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170.610</w:t>
            </w:r>
          </w:p>
        </w:tc>
        <w:tc>
          <w:tcPr>
            <w:tcW w:w="858" w:type="dxa"/>
            <w:shd w:val="clear" w:color="auto" w:fill="auto"/>
          </w:tcPr>
          <w:p w14:paraId="19C31565"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+16</w:t>
            </w:r>
          </w:p>
        </w:tc>
      </w:tr>
      <w:tr w:rsidR="009F2508" w:rsidRPr="001511A3" w14:paraId="0EBF5182" w14:textId="77777777" w:rsidTr="004E21FB">
        <w:trPr>
          <w:trHeight w:val="398"/>
          <w:jc w:val="center"/>
        </w:trPr>
        <w:tc>
          <w:tcPr>
            <w:tcW w:w="3731" w:type="dxa"/>
            <w:shd w:val="clear" w:color="auto" w:fill="auto"/>
          </w:tcPr>
          <w:p w14:paraId="058E9108"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Machines et matériel</w:t>
            </w:r>
          </w:p>
        </w:tc>
        <w:tc>
          <w:tcPr>
            <w:tcW w:w="1741" w:type="dxa"/>
          </w:tcPr>
          <w:p w14:paraId="495EA25E"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664</w:t>
            </w:r>
          </w:p>
        </w:tc>
        <w:tc>
          <w:tcPr>
            <w:tcW w:w="1741" w:type="dxa"/>
          </w:tcPr>
          <w:p w14:paraId="4E87CE68"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1.036</w:t>
            </w:r>
          </w:p>
        </w:tc>
        <w:tc>
          <w:tcPr>
            <w:tcW w:w="1567" w:type="dxa"/>
            <w:shd w:val="clear" w:color="auto" w:fill="auto"/>
          </w:tcPr>
          <w:p w14:paraId="4B0658F4"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372</w:t>
            </w:r>
          </w:p>
        </w:tc>
        <w:tc>
          <w:tcPr>
            <w:tcW w:w="858" w:type="dxa"/>
            <w:shd w:val="clear" w:color="auto" w:fill="auto"/>
          </w:tcPr>
          <w:p w14:paraId="4D8F5511"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w:t>
            </w:r>
          </w:p>
        </w:tc>
      </w:tr>
      <w:tr w:rsidR="009F2508" w:rsidRPr="001511A3" w14:paraId="6AA14D43" w14:textId="77777777" w:rsidTr="004E21FB">
        <w:trPr>
          <w:trHeight w:val="398"/>
          <w:jc w:val="center"/>
        </w:trPr>
        <w:tc>
          <w:tcPr>
            <w:tcW w:w="3731" w:type="dxa"/>
            <w:shd w:val="clear" w:color="auto" w:fill="auto"/>
          </w:tcPr>
          <w:p w14:paraId="5CA6A405"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Matériel de transport</w:t>
            </w:r>
          </w:p>
        </w:tc>
        <w:tc>
          <w:tcPr>
            <w:tcW w:w="1741" w:type="dxa"/>
          </w:tcPr>
          <w:p w14:paraId="7FEF2BB4"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0</w:t>
            </w:r>
          </w:p>
        </w:tc>
        <w:tc>
          <w:tcPr>
            <w:tcW w:w="1741" w:type="dxa"/>
          </w:tcPr>
          <w:p w14:paraId="156C9B12"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600</w:t>
            </w:r>
          </w:p>
        </w:tc>
        <w:tc>
          <w:tcPr>
            <w:tcW w:w="1567" w:type="dxa"/>
            <w:shd w:val="clear" w:color="auto" w:fill="auto"/>
          </w:tcPr>
          <w:p w14:paraId="0285ACA0"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600</w:t>
            </w:r>
          </w:p>
        </w:tc>
        <w:tc>
          <w:tcPr>
            <w:tcW w:w="858" w:type="dxa"/>
            <w:shd w:val="clear" w:color="auto" w:fill="auto"/>
          </w:tcPr>
          <w:p w14:paraId="5D3C3A9C"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w:t>
            </w:r>
          </w:p>
        </w:tc>
      </w:tr>
      <w:tr w:rsidR="009F2508" w:rsidRPr="001511A3" w14:paraId="693EC5DC" w14:textId="77777777" w:rsidTr="004E21FB">
        <w:trPr>
          <w:trHeight w:val="398"/>
          <w:jc w:val="center"/>
        </w:trPr>
        <w:tc>
          <w:tcPr>
            <w:tcW w:w="3731" w:type="dxa"/>
            <w:shd w:val="clear" w:color="auto" w:fill="auto"/>
          </w:tcPr>
          <w:p w14:paraId="491DE4F9"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Articles manufacturés</w:t>
            </w:r>
          </w:p>
        </w:tc>
        <w:tc>
          <w:tcPr>
            <w:tcW w:w="1741" w:type="dxa"/>
          </w:tcPr>
          <w:p w14:paraId="1AE5F1EF"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1.347</w:t>
            </w:r>
          </w:p>
        </w:tc>
        <w:tc>
          <w:tcPr>
            <w:tcW w:w="1741" w:type="dxa"/>
          </w:tcPr>
          <w:p w14:paraId="027F30A0"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4.012</w:t>
            </w:r>
          </w:p>
        </w:tc>
        <w:tc>
          <w:tcPr>
            <w:tcW w:w="1567" w:type="dxa"/>
            <w:shd w:val="clear" w:color="auto" w:fill="auto"/>
          </w:tcPr>
          <w:p w14:paraId="64791296"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2.665</w:t>
            </w:r>
          </w:p>
        </w:tc>
        <w:tc>
          <w:tcPr>
            <w:tcW w:w="858" w:type="dxa"/>
            <w:shd w:val="clear" w:color="auto" w:fill="auto"/>
          </w:tcPr>
          <w:p w14:paraId="13CAE1A2"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w:t>
            </w:r>
          </w:p>
        </w:tc>
      </w:tr>
      <w:tr w:rsidR="009F2508" w:rsidRPr="001511A3" w14:paraId="5C47AD48" w14:textId="77777777" w:rsidTr="004E21FB">
        <w:trPr>
          <w:trHeight w:val="398"/>
          <w:jc w:val="center"/>
        </w:trPr>
        <w:tc>
          <w:tcPr>
            <w:tcW w:w="3731" w:type="dxa"/>
            <w:shd w:val="clear" w:color="auto" w:fill="auto"/>
          </w:tcPr>
          <w:p w14:paraId="28398A1A" w14:textId="77777777" w:rsidR="009F2508" w:rsidRPr="001511A3" w:rsidRDefault="009F2508" w:rsidP="00213A30">
            <w:pPr>
              <w:tabs>
                <w:tab w:val="left" w:pos="2552"/>
              </w:tabs>
              <w:spacing w:after="0" w:line="240" w:lineRule="auto"/>
              <w:rPr>
                <w:bCs/>
                <w:sz w:val="18"/>
                <w:szCs w:val="18"/>
              </w:rPr>
            </w:pPr>
            <w:r w:rsidRPr="001511A3">
              <w:rPr>
                <w:bCs/>
                <w:sz w:val="18"/>
                <w:szCs w:val="18"/>
              </w:rPr>
              <w:t>Matières premières secondaires, déchets</w:t>
            </w:r>
          </w:p>
        </w:tc>
        <w:tc>
          <w:tcPr>
            <w:tcW w:w="1741" w:type="dxa"/>
          </w:tcPr>
          <w:p w14:paraId="4273C09E"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1.862.727</w:t>
            </w:r>
          </w:p>
        </w:tc>
        <w:tc>
          <w:tcPr>
            <w:tcW w:w="1741" w:type="dxa"/>
          </w:tcPr>
          <w:p w14:paraId="6DB13793"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2.163.159</w:t>
            </w:r>
          </w:p>
        </w:tc>
        <w:tc>
          <w:tcPr>
            <w:tcW w:w="1567" w:type="dxa"/>
            <w:shd w:val="clear" w:color="auto" w:fill="auto"/>
          </w:tcPr>
          <w:p w14:paraId="42ADFBDC"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300.432</w:t>
            </w:r>
          </w:p>
        </w:tc>
        <w:tc>
          <w:tcPr>
            <w:tcW w:w="858" w:type="dxa"/>
            <w:shd w:val="clear" w:color="auto" w:fill="auto"/>
          </w:tcPr>
          <w:p w14:paraId="27A411B2"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+16</w:t>
            </w:r>
          </w:p>
        </w:tc>
      </w:tr>
      <w:tr w:rsidR="009F2508" w:rsidRPr="001511A3" w14:paraId="053D7CEB" w14:textId="77777777" w:rsidTr="004E21FB">
        <w:trPr>
          <w:trHeight w:val="398"/>
          <w:jc w:val="center"/>
        </w:trPr>
        <w:tc>
          <w:tcPr>
            <w:tcW w:w="3731" w:type="dxa"/>
            <w:shd w:val="clear" w:color="auto" w:fill="auto"/>
          </w:tcPr>
          <w:p w14:paraId="44CF9845"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Marchandises divers, conteneurs</w:t>
            </w:r>
          </w:p>
        </w:tc>
        <w:tc>
          <w:tcPr>
            <w:tcW w:w="1741" w:type="dxa"/>
          </w:tcPr>
          <w:p w14:paraId="6B11653B"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1.120.703</w:t>
            </w:r>
          </w:p>
        </w:tc>
        <w:tc>
          <w:tcPr>
            <w:tcW w:w="1741" w:type="dxa"/>
          </w:tcPr>
          <w:p w14:paraId="1565844B"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1.014.195</w:t>
            </w:r>
          </w:p>
        </w:tc>
        <w:tc>
          <w:tcPr>
            <w:tcW w:w="1567" w:type="dxa"/>
            <w:shd w:val="clear" w:color="auto" w:fill="auto"/>
          </w:tcPr>
          <w:p w14:paraId="7290EE76"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-106.508</w:t>
            </w:r>
          </w:p>
        </w:tc>
        <w:tc>
          <w:tcPr>
            <w:tcW w:w="858" w:type="dxa"/>
            <w:shd w:val="clear" w:color="auto" w:fill="auto"/>
          </w:tcPr>
          <w:p w14:paraId="3D190E11"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-10</w:t>
            </w:r>
          </w:p>
        </w:tc>
      </w:tr>
      <w:tr w:rsidR="009F2508" w:rsidRPr="001511A3" w14:paraId="06A4667E" w14:textId="77777777" w:rsidTr="004E21FB">
        <w:trPr>
          <w:trHeight w:val="398"/>
          <w:jc w:val="center"/>
        </w:trPr>
        <w:tc>
          <w:tcPr>
            <w:tcW w:w="3731" w:type="dxa"/>
            <w:shd w:val="clear" w:color="auto" w:fill="auto"/>
          </w:tcPr>
          <w:p w14:paraId="22EDF593" w14:textId="77777777" w:rsidR="009F2508" w:rsidRPr="001511A3" w:rsidRDefault="009F2508" w:rsidP="00213A30">
            <w:pPr>
              <w:tabs>
                <w:tab w:val="left" w:pos="2552"/>
              </w:tabs>
              <w:spacing w:after="0" w:line="240" w:lineRule="auto"/>
              <w:jc w:val="both"/>
              <w:rPr>
                <w:bCs/>
                <w:sz w:val="18"/>
                <w:szCs w:val="18"/>
              </w:rPr>
            </w:pPr>
            <w:r w:rsidRPr="001511A3">
              <w:rPr>
                <w:bCs/>
                <w:sz w:val="18"/>
                <w:szCs w:val="18"/>
              </w:rPr>
              <w:t>Autres marchandises</w:t>
            </w:r>
          </w:p>
        </w:tc>
        <w:tc>
          <w:tcPr>
            <w:tcW w:w="1741" w:type="dxa"/>
          </w:tcPr>
          <w:p w14:paraId="1DF2D6B4" w14:textId="77777777" w:rsidR="009F2508" w:rsidRPr="001511A3" w:rsidRDefault="009F2508" w:rsidP="00213A30">
            <w:pPr>
              <w:tabs>
                <w:tab w:val="left" w:pos="1164"/>
              </w:tabs>
              <w:spacing w:after="0" w:line="240" w:lineRule="auto"/>
              <w:ind w:right="318"/>
              <w:jc w:val="center"/>
              <w:rPr>
                <w:bCs/>
                <w:sz w:val="18"/>
                <w:szCs w:val="18"/>
              </w:rPr>
            </w:pPr>
            <w:r w:rsidRPr="001511A3">
              <w:rPr>
                <w:bCs/>
                <w:sz w:val="18"/>
                <w:szCs w:val="18"/>
              </w:rPr>
              <w:t>62.016</w:t>
            </w:r>
          </w:p>
        </w:tc>
        <w:tc>
          <w:tcPr>
            <w:tcW w:w="1741" w:type="dxa"/>
          </w:tcPr>
          <w:p w14:paraId="08238A1D" w14:textId="77777777" w:rsidR="009F2508" w:rsidRPr="001511A3" w:rsidRDefault="009F2508" w:rsidP="00213A30">
            <w:pPr>
              <w:tabs>
                <w:tab w:val="left" w:pos="1164"/>
              </w:tabs>
              <w:spacing w:after="0" w:line="240" w:lineRule="auto"/>
              <w:ind w:right="318"/>
              <w:jc w:val="center"/>
              <w:rPr>
                <w:bCs/>
                <w:sz w:val="18"/>
                <w:szCs w:val="18"/>
              </w:rPr>
            </w:pPr>
            <w:r w:rsidRPr="001511A3">
              <w:rPr>
                <w:bCs/>
                <w:sz w:val="18"/>
                <w:szCs w:val="18"/>
              </w:rPr>
              <w:t>68.938</w:t>
            </w:r>
          </w:p>
        </w:tc>
        <w:tc>
          <w:tcPr>
            <w:tcW w:w="1567" w:type="dxa"/>
            <w:shd w:val="clear" w:color="auto" w:fill="auto"/>
          </w:tcPr>
          <w:p w14:paraId="56764264" w14:textId="77777777" w:rsidR="009F2508" w:rsidRPr="001511A3" w:rsidRDefault="009F2508" w:rsidP="00213A30">
            <w:pPr>
              <w:tabs>
                <w:tab w:val="left" w:pos="2552"/>
              </w:tabs>
              <w:spacing w:after="0" w:line="240" w:lineRule="auto"/>
              <w:ind w:right="318"/>
              <w:jc w:val="center"/>
              <w:rPr>
                <w:bCs/>
                <w:sz w:val="18"/>
                <w:szCs w:val="18"/>
              </w:rPr>
            </w:pPr>
            <w:r w:rsidRPr="001511A3">
              <w:rPr>
                <w:bCs/>
                <w:sz w:val="18"/>
                <w:szCs w:val="18"/>
              </w:rPr>
              <w:t>6.922</w:t>
            </w:r>
          </w:p>
        </w:tc>
        <w:tc>
          <w:tcPr>
            <w:tcW w:w="858" w:type="dxa"/>
            <w:shd w:val="clear" w:color="auto" w:fill="auto"/>
          </w:tcPr>
          <w:p w14:paraId="11DDD797" w14:textId="77777777" w:rsidR="009F2508" w:rsidRPr="001511A3" w:rsidRDefault="009F2508" w:rsidP="00213A30">
            <w:pPr>
              <w:tabs>
                <w:tab w:val="left" w:pos="2552"/>
              </w:tabs>
              <w:spacing w:after="0" w:line="240" w:lineRule="auto"/>
              <w:ind w:left="-46" w:right="-55"/>
              <w:jc w:val="center"/>
              <w:rPr>
                <w:bCs/>
                <w:sz w:val="18"/>
                <w:szCs w:val="18"/>
              </w:rPr>
            </w:pPr>
            <w:r w:rsidRPr="001511A3">
              <w:rPr>
                <w:bCs/>
                <w:sz w:val="18"/>
                <w:szCs w:val="18"/>
              </w:rPr>
              <w:t>+11</w:t>
            </w:r>
          </w:p>
        </w:tc>
      </w:tr>
      <w:tr w:rsidR="009F2508" w:rsidRPr="001511A3" w14:paraId="473BB586" w14:textId="77777777" w:rsidTr="004E21FB">
        <w:trPr>
          <w:trHeight w:val="398"/>
          <w:jc w:val="center"/>
        </w:trPr>
        <w:tc>
          <w:tcPr>
            <w:tcW w:w="3731" w:type="dxa"/>
            <w:shd w:val="clear" w:color="auto" w:fill="auto"/>
          </w:tcPr>
          <w:p w14:paraId="6BFCB0CF" w14:textId="77777777" w:rsidR="009F2508" w:rsidRPr="001511A3" w:rsidRDefault="009F2508" w:rsidP="00213A30">
            <w:pPr>
              <w:tabs>
                <w:tab w:val="left" w:pos="2552"/>
              </w:tabs>
              <w:spacing w:after="0" w:line="240" w:lineRule="auto"/>
              <w:jc w:val="both"/>
              <w:rPr>
                <w:b/>
                <w:bCs/>
                <w:sz w:val="18"/>
                <w:szCs w:val="18"/>
              </w:rPr>
            </w:pPr>
            <w:r w:rsidRPr="001511A3">
              <w:rPr>
                <w:b/>
                <w:bCs/>
                <w:sz w:val="18"/>
                <w:szCs w:val="18"/>
              </w:rPr>
              <w:t>TOTAL</w:t>
            </w:r>
          </w:p>
        </w:tc>
        <w:tc>
          <w:tcPr>
            <w:tcW w:w="1741" w:type="dxa"/>
          </w:tcPr>
          <w:p w14:paraId="5817E883" w14:textId="77777777" w:rsidR="009F2508" w:rsidRPr="001511A3" w:rsidRDefault="009F2508" w:rsidP="00213A30">
            <w:pPr>
              <w:tabs>
                <w:tab w:val="left" w:pos="2552"/>
              </w:tabs>
              <w:spacing w:after="0" w:line="240" w:lineRule="auto"/>
              <w:ind w:right="318"/>
              <w:jc w:val="center"/>
              <w:rPr>
                <w:b/>
                <w:bCs/>
                <w:sz w:val="18"/>
                <w:szCs w:val="18"/>
              </w:rPr>
            </w:pPr>
            <w:r w:rsidRPr="001511A3">
              <w:rPr>
                <w:b/>
                <w:bCs/>
                <w:sz w:val="18"/>
                <w:szCs w:val="18"/>
              </w:rPr>
              <w:t>13.982.321</w:t>
            </w:r>
          </w:p>
        </w:tc>
        <w:tc>
          <w:tcPr>
            <w:tcW w:w="1741" w:type="dxa"/>
          </w:tcPr>
          <w:p w14:paraId="283FD869" w14:textId="77777777" w:rsidR="009F2508" w:rsidRPr="001511A3" w:rsidRDefault="009F2508" w:rsidP="00213A30">
            <w:pPr>
              <w:tabs>
                <w:tab w:val="left" w:pos="2552"/>
              </w:tabs>
              <w:spacing w:after="0" w:line="240" w:lineRule="auto"/>
              <w:ind w:right="318"/>
              <w:jc w:val="center"/>
              <w:rPr>
                <w:b/>
                <w:bCs/>
                <w:sz w:val="18"/>
                <w:szCs w:val="18"/>
              </w:rPr>
            </w:pPr>
            <w:r w:rsidRPr="001511A3">
              <w:rPr>
                <w:b/>
                <w:bCs/>
                <w:sz w:val="18"/>
                <w:szCs w:val="18"/>
              </w:rPr>
              <w:t>14.924.899</w:t>
            </w:r>
          </w:p>
        </w:tc>
        <w:tc>
          <w:tcPr>
            <w:tcW w:w="1567" w:type="dxa"/>
            <w:shd w:val="clear" w:color="auto" w:fill="auto"/>
          </w:tcPr>
          <w:p w14:paraId="345E006C" w14:textId="77777777" w:rsidR="009F2508" w:rsidRPr="001511A3" w:rsidRDefault="009F2508" w:rsidP="00213A30">
            <w:pPr>
              <w:tabs>
                <w:tab w:val="left" w:pos="2552"/>
              </w:tabs>
              <w:spacing w:after="0" w:line="240" w:lineRule="auto"/>
              <w:ind w:right="318"/>
              <w:jc w:val="center"/>
              <w:rPr>
                <w:b/>
                <w:bCs/>
                <w:sz w:val="18"/>
                <w:szCs w:val="18"/>
              </w:rPr>
            </w:pPr>
            <w:r w:rsidRPr="001511A3">
              <w:rPr>
                <w:b/>
                <w:bCs/>
                <w:sz w:val="18"/>
                <w:szCs w:val="18"/>
              </w:rPr>
              <w:t>942.578</w:t>
            </w:r>
          </w:p>
        </w:tc>
        <w:tc>
          <w:tcPr>
            <w:tcW w:w="858" w:type="dxa"/>
            <w:shd w:val="clear" w:color="auto" w:fill="auto"/>
          </w:tcPr>
          <w:p w14:paraId="154305A1" w14:textId="77777777" w:rsidR="009F2508" w:rsidRPr="001511A3" w:rsidRDefault="009F2508" w:rsidP="00213A30">
            <w:pPr>
              <w:tabs>
                <w:tab w:val="left" w:pos="2552"/>
              </w:tabs>
              <w:spacing w:after="0" w:line="240" w:lineRule="auto"/>
              <w:ind w:left="-46" w:right="-55"/>
              <w:jc w:val="center"/>
              <w:rPr>
                <w:b/>
                <w:bCs/>
                <w:sz w:val="18"/>
                <w:szCs w:val="18"/>
              </w:rPr>
            </w:pPr>
            <w:r w:rsidRPr="001511A3">
              <w:rPr>
                <w:b/>
                <w:bCs/>
                <w:sz w:val="18"/>
                <w:szCs w:val="18"/>
              </w:rPr>
              <w:t>+7</w:t>
            </w:r>
          </w:p>
        </w:tc>
      </w:tr>
    </w:tbl>
    <w:p w14:paraId="58AFACD2" w14:textId="77777777" w:rsidR="009F2508" w:rsidRDefault="009F2508" w:rsidP="00213A30">
      <w:pPr>
        <w:spacing w:after="0" w:line="240" w:lineRule="auto"/>
        <w:jc w:val="right"/>
      </w:pPr>
      <w:r>
        <w:t>* non significatif</w:t>
      </w:r>
    </w:p>
    <w:p w14:paraId="6685D7A4" w14:textId="77777777" w:rsidR="009F2508" w:rsidRDefault="009F2508" w:rsidP="00213A30">
      <w:pPr>
        <w:spacing w:after="0" w:line="240" w:lineRule="auto"/>
      </w:pPr>
    </w:p>
    <w:p w14:paraId="37AEA93D" w14:textId="77777777" w:rsidR="009F2508" w:rsidRDefault="009F2508" w:rsidP="00213A30">
      <w:pPr>
        <w:spacing w:after="0" w:line="240" w:lineRule="auto"/>
        <w:jc w:val="both"/>
        <w:rPr>
          <w:rFonts w:cs="Calibri"/>
        </w:rPr>
      </w:pPr>
      <w:r>
        <w:rPr>
          <w:rFonts w:cs="Calibri"/>
        </w:rPr>
        <w:t xml:space="preserve">Les principales marchandises </w:t>
      </w:r>
      <w:r w:rsidRPr="00CF01EE">
        <w:rPr>
          <w:rFonts w:cs="Calibri"/>
          <w:b/>
        </w:rPr>
        <w:t>en hausse</w:t>
      </w:r>
      <w:r>
        <w:rPr>
          <w:rFonts w:cs="Calibri"/>
        </w:rPr>
        <w:t xml:space="preserve"> sont :</w:t>
      </w:r>
    </w:p>
    <w:p w14:paraId="73E2D3FE" w14:textId="77777777" w:rsidR="009F2508" w:rsidRPr="00B71D50" w:rsidRDefault="009F2508" w:rsidP="00213A30">
      <w:pPr>
        <w:numPr>
          <w:ilvl w:val="0"/>
          <w:numId w:val="3"/>
        </w:numPr>
        <w:spacing w:after="0" w:line="240" w:lineRule="auto"/>
        <w:ind w:left="426" w:hanging="426"/>
      </w:pPr>
      <w:proofErr w:type="gramStart"/>
      <w:r w:rsidRPr="00B71D50">
        <w:t>les</w:t>
      </w:r>
      <w:proofErr w:type="gramEnd"/>
      <w:r w:rsidRPr="00B71D50">
        <w:t xml:space="preserve"> produits charbonniers (</w:t>
      </w:r>
      <w:r>
        <w:t>+299.587</w:t>
      </w:r>
      <w:r w:rsidRPr="00B71D50">
        <w:t xml:space="preserve"> tonnes, soit </w:t>
      </w:r>
      <w:r>
        <w:t>+27</w:t>
      </w:r>
      <w:r w:rsidRPr="00B71D50">
        <w:t xml:space="preserve"> %) ;</w:t>
      </w:r>
    </w:p>
    <w:p w14:paraId="5FEBB680" w14:textId="77777777" w:rsidR="009F2508" w:rsidRDefault="009F2508" w:rsidP="00213A30">
      <w:pPr>
        <w:numPr>
          <w:ilvl w:val="0"/>
          <w:numId w:val="3"/>
        </w:numPr>
        <w:spacing w:after="0" w:line="240" w:lineRule="auto"/>
        <w:ind w:left="426" w:hanging="426"/>
      </w:pPr>
      <w:proofErr w:type="gramStart"/>
      <w:r>
        <w:t>les</w:t>
      </w:r>
      <w:proofErr w:type="gramEnd"/>
      <w:r>
        <w:t xml:space="preserve"> produits de l’agriculture (+86.481 tonnes, soit +20 %) ;</w:t>
      </w:r>
    </w:p>
    <w:p w14:paraId="70C536D2" w14:textId="77777777" w:rsidR="009F2508" w:rsidRDefault="009F2508" w:rsidP="00213A30">
      <w:pPr>
        <w:numPr>
          <w:ilvl w:val="0"/>
          <w:numId w:val="3"/>
        </w:numPr>
        <w:spacing w:after="0" w:line="240" w:lineRule="auto"/>
        <w:ind w:left="426" w:hanging="426"/>
        <w:jc w:val="both"/>
        <w:rPr>
          <w:rFonts w:cs="Calibri"/>
        </w:rPr>
      </w:pPr>
      <w:proofErr w:type="gramStart"/>
      <w:r>
        <w:rPr>
          <w:rFonts w:cs="Calibri"/>
        </w:rPr>
        <w:t>les</w:t>
      </w:r>
      <w:proofErr w:type="gramEnd"/>
      <w:r>
        <w:rPr>
          <w:rFonts w:cs="Calibri"/>
        </w:rPr>
        <w:t xml:space="preserve"> matières premières secondaires et déchets (+300.432</w:t>
      </w:r>
      <w:r w:rsidRPr="00FC4C56">
        <w:rPr>
          <w:rFonts w:cs="Calibri"/>
        </w:rPr>
        <w:t xml:space="preserve"> tonnes, soit +</w:t>
      </w:r>
      <w:r>
        <w:rPr>
          <w:rFonts w:cs="Calibri"/>
        </w:rPr>
        <w:t>16</w:t>
      </w:r>
      <w:r w:rsidRPr="00FC4C56">
        <w:rPr>
          <w:rFonts w:cs="Calibri"/>
        </w:rPr>
        <w:t xml:space="preserve"> %)</w:t>
      </w:r>
      <w:r>
        <w:rPr>
          <w:rFonts w:cs="Calibri"/>
        </w:rPr>
        <w:t> ;</w:t>
      </w:r>
    </w:p>
    <w:p w14:paraId="60CA37E4" w14:textId="77777777" w:rsidR="009F2508" w:rsidRDefault="009F2508" w:rsidP="00213A30">
      <w:pPr>
        <w:numPr>
          <w:ilvl w:val="0"/>
          <w:numId w:val="3"/>
        </w:numPr>
        <w:spacing w:after="0" w:line="240" w:lineRule="auto"/>
        <w:ind w:left="426" w:hanging="426"/>
        <w:jc w:val="both"/>
        <w:rPr>
          <w:rFonts w:cs="Calibri"/>
        </w:rPr>
      </w:pPr>
      <w:proofErr w:type="gramStart"/>
      <w:r>
        <w:rPr>
          <w:rFonts w:cs="Calibri"/>
        </w:rPr>
        <w:t>les</w:t>
      </w:r>
      <w:proofErr w:type="gramEnd"/>
      <w:r>
        <w:rPr>
          <w:rFonts w:cs="Calibri"/>
        </w:rPr>
        <w:t xml:space="preserve"> métaux (+170.610 tonnes, soit +16 %) ;</w:t>
      </w:r>
    </w:p>
    <w:p w14:paraId="58D50CD3" w14:textId="08A611E2" w:rsidR="009F2508" w:rsidRPr="00B71D50" w:rsidRDefault="009F2508" w:rsidP="00213A30">
      <w:pPr>
        <w:numPr>
          <w:ilvl w:val="0"/>
          <w:numId w:val="3"/>
        </w:numPr>
        <w:spacing w:after="0" w:line="240" w:lineRule="auto"/>
        <w:ind w:left="426" w:hanging="426"/>
      </w:pPr>
      <w:proofErr w:type="gramStart"/>
      <w:r w:rsidRPr="00B71D50">
        <w:t>les</w:t>
      </w:r>
      <w:proofErr w:type="gramEnd"/>
      <w:r w:rsidRPr="00B71D50">
        <w:t xml:space="preserve"> produits </w:t>
      </w:r>
      <w:r>
        <w:t>chimiques</w:t>
      </w:r>
      <w:r w:rsidRPr="00B71D50">
        <w:t xml:space="preserve"> (</w:t>
      </w:r>
      <w:r>
        <w:t>+36.297</w:t>
      </w:r>
      <w:r w:rsidRPr="00B71D50">
        <w:t xml:space="preserve"> tonnes, soit </w:t>
      </w:r>
      <w:r>
        <w:t>+11</w:t>
      </w:r>
      <w:r w:rsidRPr="00B71D50">
        <w:t>%)</w:t>
      </w:r>
      <w:r w:rsidR="00125CAC">
        <w:t> ;</w:t>
      </w:r>
    </w:p>
    <w:p w14:paraId="0059E248" w14:textId="77777777" w:rsidR="009F2508" w:rsidRDefault="009F2508" w:rsidP="00213A30">
      <w:pPr>
        <w:numPr>
          <w:ilvl w:val="0"/>
          <w:numId w:val="3"/>
        </w:numPr>
        <w:spacing w:after="0" w:line="240" w:lineRule="auto"/>
        <w:ind w:left="426" w:hanging="426"/>
      </w:pPr>
      <w:proofErr w:type="gramStart"/>
      <w:r>
        <w:t>les</w:t>
      </w:r>
      <w:proofErr w:type="gramEnd"/>
      <w:r>
        <w:t xml:space="preserve"> produits carriers (+202.758 tonnes, soit +4 %) ;</w:t>
      </w:r>
    </w:p>
    <w:p w14:paraId="30DB85B0" w14:textId="7F376A63" w:rsidR="009F2508" w:rsidRDefault="009F2508" w:rsidP="00213A30">
      <w:pPr>
        <w:numPr>
          <w:ilvl w:val="0"/>
          <w:numId w:val="3"/>
        </w:numPr>
        <w:spacing w:after="0" w:line="240" w:lineRule="auto"/>
        <w:ind w:left="426" w:hanging="426"/>
      </w:pPr>
      <w:proofErr w:type="gramStart"/>
      <w:r>
        <w:t>les</w:t>
      </w:r>
      <w:proofErr w:type="gramEnd"/>
      <w:r>
        <w:t xml:space="preserve"> produits pétroliers (+121.802 tonnes, soit +4 %)</w:t>
      </w:r>
      <w:r w:rsidR="00125CAC">
        <w:t xml:space="preserve">. </w:t>
      </w:r>
    </w:p>
    <w:p w14:paraId="70A485BC" w14:textId="36F9AEAA" w:rsidR="009F2508" w:rsidRDefault="009F2508" w:rsidP="00213A30">
      <w:pPr>
        <w:spacing w:after="0" w:line="240" w:lineRule="auto"/>
        <w:jc w:val="both"/>
      </w:pPr>
    </w:p>
    <w:p w14:paraId="23AE8C25" w14:textId="77777777" w:rsidR="00213A30" w:rsidRDefault="00213A30" w:rsidP="00213A30">
      <w:pPr>
        <w:spacing w:after="0" w:line="240" w:lineRule="auto"/>
        <w:jc w:val="both"/>
      </w:pPr>
    </w:p>
    <w:p w14:paraId="72AB76AE" w14:textId="79F2B423" w:rsidR="009F2508" w:rsidRDefault="009F2508" w:rsidP="00213A30">
      <w:pPr>
        <w:spacing w:after="0" w:line="240" w:lineRule="auto"/>
        <w:jc w:val="both"/>
        <w:rPr>
          <w:rFonts w:cs="Calibri"/>
        </w:rPr>
      </w:pPr>
      <w:r>
        <w:t xml:space="preserve">Les secteurs de l’industrie, de l’énergie, du bâtiment et de la métallurgie profitent pleinement de la croissance économique (+6 %) enregistrée </w:t>
      </w:r>
      <w:r w:rsidR="001F18CC">
        <w:t>en 2021</w:t>
      </w:r>
      <w:r>
        <w:t>.</w:t>
      </w:r>
    </w:p>
    <w:p w14:paraId="36F4D4F1" w14:textId="77777777" w:rsidR="009F2508" w:rsidRDefault="009F2508" w:rsidP="00213A30">
      <w:pPr>
        <w:spacing w:after="0" w:line="240" w:lineRule="auto"/>
        <w:jc w:val="both"/>
        <w:rPr>
          <w:rFonts w:cs="Calibri"/>
        </w:rPr>
      </w:pPr>
    </w:p>
    <w:p w14:paraId="6999F265" w14:textId="77777777" w:rsidR="009F2508" w:rsidRDefault="009F2508" w:rsidP="00213A30">
      <w:pPr>
        <w:spacing w:after="0" w:line="240" w:lineRule="auto"/>
      </w:pPr>
      <w:r>
        <w:t xml:space="preserve">Les principales marchandises </w:t>
      </w:r>
      <w:r w:rsidRPr="00CF01EE">
        <w:rPr>
          <w:b/>
        </w:rPr>
        <w:t>en baisse</w:t>
      </w:r>
      <w:r>
        <w:t xml:space="preserve"> sont :</w:t>
      </w:r>
    </w:p>
    <w:p w14:paraId="40EE1F83" w14:textId="77777777" w:rsidR="009F2508" w:rsidRPr="00B71D50" w:rsidRDefault="009F2508" w:rsidP="00213A30">
      <w:pPr>
        <w:numPr>
          <w:ilvl w:val="0"/>
          <w:numId w:val="3"/>
        </w:numPr>
        <w:spacing w:after="0" w:line="240" w:lineRule="auto"/>
        <w:ind w:left="426" w:hanging="426"/>
      </w:pPr>
      <w:proofErr w:type="gramStart"/>
      <w:r w:rsidRPr="00B71D50">
        <w:t>les</w:t>
      </w:r>
      <w:proofErr w:type="gramEnd"/>
      <w:r w:rsidRPr="00B71D50">
        <w:t xml:space="preserve"> bois et produits du bois (-</w:t>
      </w:r>
      <w:r>
        <w:t>179.410</w:t>
      </w:r>
      <w:r w:rsidRPr="00B71D50">
        <w:t xml:space="preserve"> tonnes, soit -</w:t>
      </w:r>
      <w:r>
        <w:t>87</w:t>
      </w:r>
      <w:r w:rsidRPr="00B71D50">
        <w:t>%) ;</w:t>
      </w:r>
    </w:p>
    <w:p w14:paraId="0A3BAC3A" w14:textId="77777777" w:rsidR="009F2508" w:rsidRDefault="009F2508" w:rsidP="00213A30">
      <w:pPr>
        <w:numPr>
          <w:ilvl w:val="0"/>
          <w:numId w:val="3"/>
        </w:numPr>
        <w:spacing w:after="0" w:line="240" w:lineRule="auto"/>
        <w:ind w:left="426" w:hanging="426"/>
        <w:jc w:val="both"/>
        <w:rPr>
          <w:rFonts w:cs="Calibri"/>
        </w:rPr>
      </w:pPr>
      <w:proofErr w:type="gramStart"/>
      <w:r>
        <w:rPr>
          <w:rFonts w:cs="Calibri"/>
        </w:rPr>
        <w:t>les</w:t>
      </w:r>
      <w:proofErr w:type="gramEnd"/>
      <w:r>
        <w:rPr>
          <w:rFonts w:cs="Calibri"/>
        </w:rPr>
        <w:t xml:space="preserve"> marchandises diverses/conteneurs (-106.508 tonnes, soit -10 %).</w:t>
      </w:r>
    </w:p>
    <w:p w14:paraId="2E4AD30F" w14:textId="77777777" w:rsidR="009F2508" w:rsidRDefault="009F2508" w:rsidP="00213A30">
      <w:pPr>
        <w:spacing w:after="0" w:line="240" w:lineRule="auto"/>
        <w:jc w:val="both"/>
        <w:rPr>
          <w:rFonts w:cs="Calibri"/>
        </w:rPr>
      </w:pPr>
    </w:p>
    <w:p w14:paraId="78D59B74" w14:textId="61784CB3" w:rsidR="009F2508" w:rsidRDefault="009F2508" w:rsidP="00213A30">
      <w:pPr>
        <w:spacing w:after="0" w:line="240" w:lineRule="auto"/>
        <w:jc w:val="both"/>
        <w:rPr>
          <w:rFonts w:cs="Calibri"/>
        </w:rPr>
      </w:pPr>
      <w:r>
        <w:rPr>
          <w:rFonts w:cs="Calibri"/>
        </w:rPr>
        <w:t xml:space="preserve">La fermeture de la centrale électrique aux pellets des </w:t>
      </w:r>
      <w:proofErr w:type="spellStart"/>
      <w:r>
        <w:rPr>
          <w:rFonts w:cs="Calibri"/>
        </w:rPr>
        <w:t>Awirs</w:t>
      </w:r>
      <w:proofErr w:type="spellEnd"/>
      <w:r>
        <w:rPr>
          <w:rFonts w:cs="Calibri"/>
        </w:rPr>
        <w:t xml:space="preserve"> et la congestion du transport maritime de conteneurs sont à l’origine de ces diminutions.</w:t>
      </w:r>
      <w:r w:rsidR="001F18CC">
        <w:rPr>
          <w:rFonts w:cs="Calibri"/>
        </w:rPr>
        <w:t xml:space="preserve"> </w:t>
      </w:r>
      <w:r>
        <w:rPr>
          <w:rFonts w:cs="Calibri"/>
        </w:rPr>
        <w:t>La pandémie a en effet mis à mal l’ensemble des chaines logistiques.</w:t>
      </w:r>
      <w:r w:rsidR="001F18CC">
        <w:rPr>
          <w:rFonts w:cs="Calibri"/>
        </w:rPr>
        <w:t xml:space="preserve"> </w:t>
      </w:r>
      <w:r>
        <w:rPr>
          <w:rFonts w:cs="Calibri"/>
        </w:rPr>
        <w:t>Les plannings des grands armateurs mondiaux ont été complètement bouleversés et les conteneurs se sont accumulés dans les ports, réduisant fortement leur capacité de manutention.</w:t>
      </w:r>
    </w:p>
    <w:p w14:paraId="35B99A1E" w14:textId="77777777" w:rsidR="009F2508" w:rsidRDefault="009F2508" w:rsidP="00213A30">
      <w:pPr>
        <w:spacing w:after="0" w:line="240" w:lineRule="auto"/>
        <w:jc w:val="both"/>
        <w:rPr>
          <w:rFonts w:cs="Calibri"/>
        </w:rPr>
      </w:pPr>
    </w:p>
    <w:p w14:paraId="30BFBD5A" w14:textId="2561F827" w:rsidR="009F2508" w:rsidRPr="00F41675" w:rsidRDefault="009F2508" w:rsidP="00213A30">
      <w:pPr>
        <w:pStyle w:val="Paragraphedeliste"/>
        <w:numPr>
          <w:ilvl w:val="1"/>
          <w:numId w:val="17"/>
        </w:numPr>
        <w:spacing w:after="0" w:line="240" w:lineRule="auto"/>
        <w:jc w:val="both"/>
        <w:rPr>
          <w:b/>
          <w:bCs/>
          <w:i/>
        </w:rPr>
      </w:pPr>
      <w:r w:rsidRPr="00F41675">
        <w:rPr>
          <w:b/>
          <w:bCs/>
          <w:i/>
        </w:rPr>
        <w:t>Les conteneurs</w:t>
      </w:r>
    </w:p>
    <w:p w14:paraId="7EE7498E" w14:textId="6C63D5B0" w:rsidR="000250BD" w:rsidRPr="000250BD" w:rsidRDefault="000250BD" w:rsidP="00213A30">
      <w:pPr>
        <w:spacing w:after="0" w:line="240" w:lineRule="auto"/>
        <w:jc w:val="both"/>
        <w:rPr>
          <w:rFonts w:cs="Calibri"/>
        </w:rPr>
      </w:pPr>
      <w:r w:rsidRPr="000250BD">
        <w:rPr>
          <w:rFonts w:cs="Calibri"/>
        </w:rPr>
        <w:t xml:space="preserve">Les terminaux liégeois et leurs navettes fluviales </w:t>
      </w:r>
      <w:r>
        <w:rPr>
          <w:rFonts w:cs="Calibri"/>
        </w:rPr>
        <w:t xml:space="preserve">de conteneurs </w:t>
      </w:r>
      <w:r w:rsidRPr="000250BD">
        <w:rPr>
          <w:rFonts w:cs="Calibri"/>
        </w:rPr>
        <w:t xml:space="preserve">ont subi les conséquences de </w:t>
      </w:r>
      <w:r w:rsidR="001511A3">
        <w:rPr>
          <w:rFonts w:cs="Calibri"/>
        </w:rPr>
        <w:t>l’</w:t>
      </w:r>
      <w:r w:rsidRPr="000250BD">
        <w:rPr>
          <w:rFonts w:cs="Calibri"/>
        </w:rPr>
        <w:t xml:space="preserve">engorgement </w:t>
      </w:r>
      <w:r w:rsidR="001511A3">
        <w:rPr>
          <w:rFonts w:cs="Calibri"/>
        </w:rPr>
        <w:t xml:space="preserve">mondial </w:t>
      </w:r>
      <w:r w:rsidRPr="000250BD">
        <w:rPr>
          <w:rFonts w:cs="Calibri"/>
        </w:rPr>
        <w:t>et c’est logiquement que ce secteur, pourtant habitué à une croissance à deux chiffres</w:t>
      </w:r>
      <w:r w:rsidR="00434959">
        <w:rPr>
          <w:rFonts w:cs="Calibri"/>
        </w:rPr>
        <w:t xml:space="preserve"> au cours de ces dernières années</w:t>
      </w:r>
      <w:r w:rsidRPr="000250BD">
        <w:rPr>
          <w:rFonts w:cs="Calibri"/>
        </w:rPr>
        <w:t>, enregistre la baisse stipulée ci-dessous.</w:t>
      </w:r>
    </w:p>
    <w:p w14:paraId="46D0035B" w14:textId="77777777" w:rsidR="009F2508" w:rsidRPr="00F806E7" w:rsidRDefault="009F2508" w:rsidP="00213A30">
      <w:pPr>
        <w:spacing w:after="0" w:line="240" w:lineRule="auto"/>
        <w:ind w:left="426"/>
        <w:jc w:val="both"/>
        <w:rPr>
          <w:bCs/>
        </w:rPr>
      </w:pPr>
    </w:p>
    <w:p w14:paraId="351D95D9" w14:textId="77777777" w:rsidR="009F2508" w:rsidRPr="002A7DB4" w:rsidRDefault="009F2508" w:rsidP="00213A30">
      <w:pPr>
        <w:spacing w:after="0" w:line="240" w:lineRule="auto"/>
        <w:jc w:val="both"/>
      </w:pPr>
      <w:r w:rsidRPr="002A7DB4">
        <w:t>Voici l’évolution du trafic fluvial de conteneurs au Port autonome de Liège</w:t>
      </w:r>
      <w:r>
        <w:t xml:space="preserve"> </w:t>
      </w:r>
      <w:r w:rsidRPr="002A7DB4">
        <w:t>au cours de ces dernières années</w:t>
      </w:r>
      <w:r>
        <w:t> </w:t>
      </w:r>
      <w:r w:rsidRPr="002A7DB4">
        <w:t>:</w:t>
      </w:r>
    </w:p>
    <w:p w14:paraId="4B0A6CDD" w14:textId="77777777" w:rsidR="009F2508" w:rsidRPr="002A7DB4" w:rsidRDefault="009F2508" w:rsidP="00213A30">
      <w:pPr>
        <w:spacing w:after="0" w:line="240" w:lineRule="auto"/>
        <w:jc w:val="both"/>
      </w:pPr>
    </w:p>
    <w:tbl>
      <w:tblPr>
        <w:tblW w:w="4621" w:type="dxa"/>
        <w:tblInd w:w="2928" w:type="dxa"/>
        <w:tblBorders>
          <w:top w:val="single" w:sz="12" w:space="0" w:color="000000"/>
          <w:bottom w:val="single" w:sz="12" w:space="0" w:color="000000"/>
          <w:insideH w:val="single" w:sz="6" w:space="0" w:color="000000"/>
        </w:tblBorders>
        <w:tblLook w:val="0020" w:firstRow="1" w:lastRow="0" w:firstColumn="0" w:lastColumn="0" w:noHBand="0" w:noVBand="0"/>
      </w:tblPr>
      <w:tblGrid>
        <w:gridCol w:w="1575"/>
        <w:gridCol w:w="2126"/>
        <w:gridCol w:w="920"/>
      </w:tblGrid>
      <w:tr w:rsidR="009F2508" w:rsidRPr="002A7DB4" w14:paraId="09119495" w14:textId="77777777" w:rsidTr="00F51428">
        <w:trPr>
          <w:trHeight w:val="360"/>
        </w:trPr>
        <w:tc>
          <w:tcPr>
            <w:tcW w:w="1575" w:type="dxa"/>
            <w:tcBorders>
              <w:bottom w:val="single" w:sz="12" w:space="0" w:color="000000"/>
            </w:tcBorders>
            <w:shd w:val="clear" w:color="auto" w:fill="auto"/>
            <w:noWrap/>
          </w:tcPr>
          <w:p w14:paraId="69FF3B9D" w14:textId="77777777" w:rsidR="009F2508" w:rsidRPr="002A7DB4" w:rsidRDefault="009F2508" w:rsidP="00213A30">
            <w:pPr>
              <w:spacing w:after="0" w:line="240" w:lineRule="auto"/>
              <w:jc w:val="center"/>
              <w:rPr>
                <w:b/>
                <w:bCs/>
              </w:rPr>
            </w:pPr>
            <w:r w:rsidRPr="002A7DB4">
              <w:rPr>
                <w:b/>
                <w:bCs/>
              </w:rPr>
              <w:t>ANNEE</w:t>
            </w:r>
          </w:p>
        </w:tc>
        <w:tc>
          <w:tcPr>
            <w:tcW w:w="2126" w:type="dxa"/>
            <w:tcBorders>
              <w:bottom w:val="single" w:sz="12" w:space="0" w:color="000000"/>
            </w:tcBorders>
            <w:shd w:val="clear" w:color="auto" w:fill="auto"/>
            <w:noWrap/>
          </w:tcPr>
          <w:p w14:paraId="7F9EF45C" w14:textId="77777777" w:rsidR="009F2508" w:rsidRPr="002A7DB4" w:rsidRDefault="009F2508" w:rsidP="00213A30">
            <w:pPr>
              <w:spacing w:after="0" w:line="240" w:lineRule="auto"/>
              <w:jc w:val="center"/>
              <w:rPr>
                <w:b/>
                <w:bCs/>
              </w:rPr>
            </w:pPr>
            <w:r w:rsidRPr="002A7DB4">
              <w:rPr>
                <w:b/>
                <w:bCs/>
              </w:rPr>
              <w:t>NOMBRE EVP</w:t>
            </w:r>
          </w:p>
        </w:tc>
        <w:tc>
          <w:tcPr>
            <w:tcW w:w="920" w:type="dxa"/>
            <w:tcBorders>
              <w:bottom w:val="single" w:sz="12" w:space="0" w:color="000000"/>
            </w:tcBorders>
            <w:shd w:val="clear" w:color="auto" w:fill="auto"/>
            <w:noWrap/>
          </w:tcPr>
          <w:p w14:paraId="10117712" w14:textId="77777777" w:rsidR="009F2508" w:rsidRPr="002A7DB4" w:rsidRDefault="009F2508" w:rsidP="00213A30">
            <w:pPr>
              <w:spacing w:after="0" w:line="240" w:lineRule="auto"/>
              <w:jc w:val="center"/>
              <w:rPr>
                <w:b/>
                <w:bCs/>
              </w:rPr>
            </w:pPr>
            <w:r w:rsidRPr="002A7DB4">
              <w:rPr>
                <w:b/>
                <w:bCs/>
              </w:rPr>
              <w:t>%</w:t>
            </w:r>
          </w:p>
        </w:tc>
      </w:tr>
      <w:tr w:rsidR="009F2508" w:rsidRPr="002A7DB4" w14:paraId="55B5CEB6" w14:textId="77777777" w:rsidTr="00F51428">
        <w:trPr>
          <w:trHeight w:val="360"/>
        </w:trPr>
        <w:tc>
          <w:tcPr>
            <w:tcW w:w="1575" w:type="dxa"/>
            <w:shd w:val="clear" w:color="auto" w:fill="auto"/>
            <w:noWrap/>
          </w:tcPr>
          <w:p w14:paraId="027DBD99" w14:textId="77777777" w:rsidR="009F2508" w:rsidRPr="002A7DB4" w:rsidRDefault="009F2508" w:rsidP="00213A30">
            <w:pPr>
              <w:spacing w:after="0" w:line="240" w:lineRule="auto"/>
              <w:jc w:val="both"/>
              <w:rPr>
                <w:bCs/>
              </w:rPr>
            </w:pPr>
            <w:r w:rsidRPr="002A7DB4">
              <w:rPr>
                <w:bCs/>
              </w:rPr>
              <w:t>2017</w:t>
            </w:r>
          </w:p>
        </w:tc>
        <w:tc>
          <w:tcPr>
            <w:tcW w:w="2126" w:type="dxa"/>
            <w:shd w:val="clear" w:color="auto" w:fill="auto"/>
            <w:noWrap/>
          </w:tcPr>
          <w:p w14:paraId="2CDF432A" w14:textId="77777777" w:rsidR="009F2508" w:rsidRPr="002A7DB4" w:rsidRDefault="009F2508" w:rsidP="00213A30">
            <w:pPr>
              <w:spacing w:after="0" w:line="240" w:lineRule="auto"/>
              <w:ind w:left="598"/>
              <w:jc w:val="both"/>
              <w:rPr>
                <w:bCs/>
              </w:rPr>
            </w:pPr>
            <w:r w:rsidRPr="002A7DB4">
              <w:rPr>
                <w:bCs/>
              </w:rPr>
              <w:t>74.431</w:t>
            </w:r>
          </w:p>
        </w:tc>
        <w:tc>
          <w:tcPr>
            <w:tcW w:w="920" w:type="dxa"/>
            <w:shd w:val="clear" w:color="auto" w:fill="auto"/>
            <w:noWrap/>
          </w:tcPr>
          <w:p w14:paraId="0C207F06" w14:textId="77777777" w:rsidR="009F2508" w:rsidRPr="002A7DB4" w:rsidRDefault="009F2508" w:rsidP="00213A30">
            <w:pPr>
              <w:spacing w:after="0" w:line="240" w:lineRule="auto"/>
              <w:ind w:left="-40"/>
              <w:jc w:val="both"/>
              <w:rPr>
                <w:bCs/>
              </w:rPr>
            </w:pPr>
            <w:r w:rsidRPr="002A7DB4">
              <w:rPr>
                <w:bCs/>
              </w:rPr>
              <w:t>+ 31</w:t>
            </w:r>
          </w:p>
        </w:tc>
      </w:tr>
      <w:tr w:rsidR="009F2508" w:rsidRPr="002A7DB4" w14:paraId="1F05ABC9" w14:textId="77777777" w:rsidTr="00F51428">
        <w:trPr>
          <w:trHeight w:val="360"/>
        </w:trPr>
        <w:tc>
          <w:tcPr>
            <w:tcW w:w="1575" w:type="dxa"/>
            <w:shd w:val="clear" w:color="auto" w:fill="auto"/>
            <w:noWrap/>
          </w:tcPr>
          <w:p w14:paraId="3AC80B89" w14:textId="77777777" w:rsidR="009F2508" w:rsidRPr="002A7DB4" w:rsidRDefault="009F2508" w:rsidP="00213A30">
            <w:pPr>
              <w:spacing w:after="0" w:line="240" w:lineRule="auto"/>
              <w:jc w:val="both"/>
              <w:rPr>
                <w:bCs/>
              </w:rPr>
            </w:pPr>
            <w:r w:rsidRPr="002A7DB4">
              <w:rPr>
                <w:bCs/>
              </w:rPr>
              <w:t>2018</w:t>
            </w:r>
          </w:p>
        </w:tc>
        <w:tc>
          <w:tcPr>
            <w:tcW w:w="2126" w:type="dxa"/>
            <w:shd w:val="clear" w:color="auto" w:fill="auto"/>
            <w:noWrap/>
          </w:tcPr>
          <w:p w14:paraId="276F646F" w14:textId="77777777" w:rsidR="009F2508" w:rsidRPr="002A7DB4" w:rsidRDefault="009F2508" w:rsidP="00213A30">
            <w:pPr>
              <w:spacing w:after="0" w:line="240" w:lineRule="auto"/>
              <w:ind w:left="598"/>
              <w:jc w:val="both"/>
              <w:rPr>
                <w:bCs/>
              </w:rPr>
            </w:pPr>
            <w:r w:rsidRPr="002A7DB4">
              <w:rPr>
                <w:bCs/>
              </w:rPr>
              <w:t>85.521</w:t>
            </w:r>
          </w:p>
        </w:tc>
        <w:tc>
          <w:tcPr>
            <w:tcW w:w="920" w:type="dxa"/>
            <w:shd w:val="clear" w:color="auto" w:fill="auto"/>
            <w:noWrap/>
          </w:tcPr>
          <w:p w14:paraId="776CABBF" w14:textId="77777777" w:rsidR="009F2508" w:rsidRPr="002A7DB4" w:rsidRDefault="009F2508" w:rsidP="00213A30">
            <w:pPr>
              <w:spacing w:after="0" w:line="240" w:lineRule="auto"/>
              <w:ind w:left="-40"/>
              <w:jc w:val="both"/>
              <w:rPr>
                <w:bCs/>
              </w:rPr>
            </w:pPr>
            <w:r w:rsidRPr="002A7DB4">
              <w:rPr>
                <w:bCs/>
              </w:rPr>
              <w:t>+ 15</w:t>
            </w:r>
          </w:p>
        </w:tc>
      </w:tr>
      <w:tr w:rsidR="009F2508" w:rsidRPr="002A7DB4" w14:paraId="0A607F70" w14:textId="77777777" w:rsidTr="00F51428">
        <w:trPr>
          <w:trHeight w:val="360"/>
        </w:trPr>
        <w:tc>
          <w:tcPr>
            <w:tcW w:w="1575" w:type="dxa"/>
            <w:shd w:val="clear" w:color="auto" w:fill="auto"/>
            <w:noWrap/>
          </w:tcPr>
          <w:p w14:paraId="379BF8FD" w14:textId="77777777" w:rsidR="009F2508" w:rsidRPr="002A7DB4" w:rsidRDefault="009F2508" w:rsidP="00213A30">
            <w:pPr>
              <w:spacing w:after="0" w:line="240" w:lineRule="auto"/>
              <w:jc w:val="both"/>
              <w:rPr>
                <w:bCs/>
              </w:rPr>
            </w:pPr>
            <w:r w:rsidRPr="002A7DB4">
              <w:rPr>
                <w:bCs/>
              </w:rPr>
              <w:t>2019</w:t>
            </w:r>
          </w:p>
        </w:tc>
        <w:tc>
          <w:tcPr>
            <w:tcW w:w="2126" w:type="dxa"/>
            <w:shd w:val="clear" w:color="auto" w:fill="auto"/>
            <w:noWrap/>
          </w:tcPr>
          <w:p w14:paraId="75ABD9DF" w14:textId="77777777" w:rsidR="009F2508" w:rsidRPr="002A7DB4" w:rsidRDefault="009F2508" w:rsidP="00213A30">
            <w:pPr>
              <w:spacing w:after="0" w:line="240" w:lineRule="auto"/>
              <w:ind w:left="598"/>
              <w:jc w:val="both"/>
              <w:rPr>
                <w:bCs/>
              </w:rPr>
            </w:pPr>
            <w:r w:rsidRPr="002A7DB4">
              <w:rPr>
                <w:bCs/>
              </w:rPr>
              <w:t>96.220</w:t>
            </w:r>
          </w:p>
        </w:tc>
        <w:tc>
          <w:tcPr>
            <w:tcW w:w="920" w:type="dxa"/>
            <w:shd w:val="clear" w:color="auto" w:fill="auto"/>
            <w:noWrap/>
          </w:tcPr>
          <w:p w14:paraId="5CD249A7" w14:textId="77777777" w:rsidR="009F2508" w:rsidRPr="002A7DB4" w:rsidRDefault="009F2508" w:rsidP="00213A30">
            <w:pPr>
              <w:spacing w:after="0" w:line="240" w:lineRule="auto"/>
              <w:ind w:left="-40"/>
              <w:jc w:val="both"/>
              <w:rPr>
                <w:bCs/>
              </w:rPr>
            </w:pPr>
            <w:r w:rsidRPr="002A7DB4">
              <w:rPr>
                <w:bCs/>
              </w:rPr>
              <w:t>+ 13</w:t>
            </w:r>
          </w:p>
        </w:tc>
      </w:tr>
      <w:tr w:rsidR="009F2508" w:rsidRPr="002A7DB4" w14:paraId="788191A6" w14:textId="77777777" w:rsidTr="00F51428">
        <w:trPr>
          <w:trHeight w:val="360"/>
        </w:trPr>
        <w:tc>
          <w:tcPr>
            <w:tcW w:w="1575" w:type="dxa"/>
            <w:shd w:val="clear" w:color="auto" w:fill="auto"/>
            <w:noWrap/>
          </w:tcPr>
          <w:p w14:paraId="33059127" w14:textId="77777777" w:rsidR="009F2508" w:rsidRPr="002A7DB4" w:rsidRDefault="009F2508" w:rsidP="00213A30">
            <w:pPr>
              <w:spacing w:after="0" w:line="240" w:lineRule="auto"/>
              <w:jc w:val="both"/>
              <w:rPr>
                <w:bCs/>
              </w:rPr>
            </w:pPr>
            <w:r>
              <w:rPr>
                <w:bCs/>
              </w:rPr>
              <w:t>2020</w:t>
            </w:r>
          </w:p>
        </w:tc>
        <w:tc>
          <w:tcPr>
            <w:tcW w:w="2126" w:type="dxa"/>
            <w:shd w:val="clear" w:color="auto" w:fill="auto"/>
            <w:noWrap/>
          </w:tcPr>
          <w:p w14:paraId="779E581C" w14:textId="77777777" w:rsidR="009F2508" w:rsidRPr="002A7DB4" w:rsidRDefault="009F2508" w:rsidP="00213A30">
            <w:pPr>
              <w:spacing w:after="0" w:line="240" w:lineRule="auto"/>
              <w:ind w:left="598"/>
              <w:jc w:val="both"/>
              <w:rPr>
                <w:bCs/>
              </w:rPr>
            </w:pPr>
            <w:r>
              <w:rPr>
                <w:bCs/>
              </w:rPr>
              <w:t>115.921</w:t>
            </w:r>
          </w:p>
        </w:tc>
        <w:tc>
          <w:tcPr>
            <w:tcW w:w="920" w:type="dxa"/>
            <w:shd w:val="clear" w:color="auto" w:fill="auto"/>
            <w:noWrap/>
          </w:tcPr>
          <w:p w14:paraId="10A72D4D" w14:textId="77777777" w:rsidR="009F2508" w:rsidRPr="002A7DB4" w:rsidRDefault="009F2508" w:rsidP="00213A30">
            <w:pPr>
              <w:spacing w:after="0" w:line="240" w:lineRule="auto"/>
              <w:ind w:left="-40"/>
              <w:jc w:val="both"/>
              <w:rPr>
                <w:bCs/>
              </w:rPr>
            </w:pPr>
            <w:r>
              <w:rPr>
                <w:bCs/>
              </w:rPr>
              <w:t>+20</w:t>
            </w:r>
          </w:p>
        </w:tc>
      </w:tr>
      <w:tr w:rsidR="009F2508" w:rsidRPr="002A7DB4" w14:paraId="29DF63C0" w14:textId="77777777" w:rsidTr="00F51428">
        <w:trPr>
          <w:trHeight w:val="360"/>
        </w:trPr>
        <w:tc>
          <w:tcPr>
            <w:tcW w:w="1575" w:type="dxa"/>
            <w:shd w:val="clear" w:color="auto" w:fill="auto"/>
            <w:noWrap/>
          </w:tcPr>
          <w:p w14:paraId="1DBD93BA" w14:textId="77777777" w:rsidR="009F2508" w:rsidRPr="005E025B" w:rsidRDefault="009F2508" w:rsidP="00213A30">
            <w:pPr>
              <w:spacing w:after="0" w:line="240" w:lineRule="auto"/>
              <w:jc w:val="both"/>
              <w:rPr>
                <w:b/>
              </w:rPr>
            </w:pPr>
            <w:r w:rsidRPr="005E025B">
              <w:rPr>
                <w:b/>
              </w:rPr>
              <w:t>202</w:t>
            </w:r>
            <w:r>
              <w:rPr>
                <w:b/>
              </w:rPr>
              <w:t>1</w:t>
            </w:r>
          </w:p>
        </w:tc>
        <w:tc>
          <w:tcPr>
            <w:tcW w:w="2126" w:type="dxa"/>
            <w:shd w:val="clear" w:color="auto" w:fill="auto"/>
            <w:noWrap/>
          </w:tcPr>
          <w:p w14:paraId="0CD91B51" w14:textId="77777777" w:rsidR="009F2508" w:rsidRPr="005E025B" w:rsidRDefault="009F2508" w:rsidP="00213A30">
            <w:pPr>
              <w:spacing w:after="0" w:line="240" w:lineRule="auto"/>
              <w:ind w:left="598"/>
              <w:jc w:val="both"/>
              <w:rPr>
                <w:b/>
              </w:rPr>
            </w:pPr>
            <w:r w:rsidRPr="005E025B">
              <w:rPr>
                <w:b/>
              </w:rPr>
              <w:t>1</w:t>
            </w:r>
            <w:r>
              <w:rPr>
                <w:b/>
              </w:rPr>
              <w:t>13.909</w:t>
            </w:r>
          </w:p>
        </w:tc>
        <w:tc>
          <w:tcPr>
            <w:tcW w:w="920" w:type="dxa"/>
            <w:shd w:val="clear" w:color="auto" w:fill="auto"/>
            <w:noWrap/>
          </w:tcPr>
          <w:p w14:paraId="7FF9B69B" w14:textId="172CA3ED" w:rsidR="009F2508" w:rsidRPr="005E025B" w:rsidRDefault="009F2508" w:rsidP="00213A30">
            <w:pPr>
              <w:spacing w:after="0" w:line="240" w:lineRule="auto"/>
              <w:ind w:left="-40"/>
              <w:jc w:val="both"/>
              <w:rPr>
                <w:b/>
              </w:rPr>
            </w:pPr>
            <w:r>
              <w:rPr>
                <w:b/>
              </w:rPr>
              <w:t>- 2</w:t>
            </w:r>
            <w:r w:rsidR="000250BD">
              <w:rPr>
                <w:b/>
              </w:rPr>
              <w:t>%</w:t>
            </w:r>
          </w:p>
        </w:tc>
      </w:tr>
    </w:tbl>
    <w:p w14:paraId="7A0297EF" w14:textId="77777777" w:rsidR="009F2508" w:rsidRDefault="009F2508" w:rsidP="00213A30">
      <w:pPr>
        <w:spacing w:after="0" w:line="240" w:lineRule="auto"/>
        <w:jc w:val="both"/>
      </w:pPr>
    </w:p>
    <w:p w14:paraId="508BAE33" w14:textId="77777777" w:rsidR="009F2508" w:rsidRDefault="009F2508" w:rsidP="00213A30">
      <w:pPr>
        <w:numPr>
          <w:ilvl w:val="1"/>
          <w:numId w:val="17"/>
        </w:numPr>
        <w:spacing w:after="0" w:line="240" w:lineRule="auto"/>
        <w:ind w:left="426" w:hanging="426"/>
        <w:jc w:val="both"/>
        <w:rPr>
          <w:b/>
          <w:bCs/>
          <w:i/>
        </w:rPr>
      </w:pPr>
      <w:r w:rsidRPr="00810B08">
        <w:rPr>
          <w:b/>
          <w:bCs/>
          <w:i/>
        </w:rPr>
        <w:t>La navigation maritime</w:t>
      </w:r>
      <w:r>
        <w:rPr>
          <w:b/>
          <w:bCs/>
          <w:i/>
        </w:rPr>
        <w:t xml:space="preserve"> </w:t>
      </w:r>
    </w:p>
    <w:p w14:paraId="19A6B678" w14:textId="77777777" w:rsidR="009F2508" w:rsidRDefault="009F2508" w:rsidP="00213A30">
      <w:pPr>
        <w:spacing w:after="0" w:line="240" w:lineRule="auto"/>
        <w:jc w:val="both"/>
        <w:rPr>
          <w:b/>
          <w:bCs/>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33"/>
        <w:gridCol w:w="2343"/>
        <w:gridCol w:w="2289"/>
      </w:tblGrid>
      <w:tr w:rsidR="009F2508" w:rsidRPr="00546693" w14:paraId="6A394968" w14:textId="77777777" w:rsidTr="00380FF6">
        <w:trPr>
          <w:jc w:val="center"/>
        </w:trPr>
        <w:tc>
          <w:tcPr>
            <w:tcW w:w="2321" w:type="dxa"/>
            <w:shd w:val="clear" w:color="auto" w:fill="auto"/>
          </w:tcPr>
          <w:p w14:paraId="2BB2C833" w14:textId="77777777" w:rsidR="009F2508" w:rsidRPr="00380FF6" w:rsidRDefault="009F2508" w:rsidP="00213A30">
            <w:pPr>
              <w:spacing w:after="0" w:line="240" w:lineRule="auto"/>
              <w:jc w:val="center"/>
              <w:rPr>
                <w:b/>
                <w:bCs/>
                <w:sz w:val="20"/>
                <w:szCs w:val="20"/>
              </w:rPr>
            </w:pPr>
            <w:r w:rsidRPr="00380FF6">
              <w:rPr>
                <w:b/>
                <w:bCs/>
                <w:sz w:val="20"/>
                <w:szCs w:val="20"/>
              </w:rPr>
              <w:t>Année</w:t>
            </w:r>
          </w:p>
        </w:tc>
        <w:tc>
          <w:tcPr>
            <w:tcW w:w="2333" w:type="dxa"/>
            <w:shd w:val="clear" w:color="auto" w:fill="auto"/>
          </w:tcPr>
          <w:p w14:paraId="04B7259F" w14:textId="77777777" w:rsidR="009F2508" w:rsidRPr="00380FF6" w:rsidRDefault="009F2508" w:rsidP="00213A30">
            <w:pPr>
              <w:spacing w:after="0" w:line="240" w:lineRule="auto"/>
              <w:jc w:val="center"/>
              <w:rPr>
                <w:b/>
                <w:bCs/>
                <w:sz w:val="20"/>
                <w:szCs w:val="20"/>
              </w:rPr>
            </w:pPr>
            <w:r w:rsidRPr="00380FF6">
              <w:rPr>
                <w:b/>
                <w:bCs/>
                <w:sz w:val="20"/>
                <w:szCs w:val="20"/>
              </w:rPr>
              <w:t>Nombre de bateaux</w:t>
            </w:r>
          </w:p>
        </w:tc>
        <w:tc>
          <w:tcPr>
            <w:tcW w:w="2343" w:type="dxa"/>
            <w:shd w:val="clear" w:color="auto" w:fill="auto"/>
          </w:tcPr>
          <w:p w14:paraId="012AF71E" w14:textId="77777777" w:rsidR="009F2508" w:rsidRPr="00380FF6" w:rsidRDefault="009F2508" w:rsidP="00213A30">
            <w:pPr>
              <w:spacing w:after="0" w:line="240" w:lineRule="auto"/>
              <w:jc w:val="center"/>
              <w:rPr>
                <w:b/>
                <w:bCs/>
                <w:sz w:val="20"/>
                <w:szCs w:val="20"/>
              </w:rPr>
            </w:pPr>
            <w:r w:rsidRPr="00380FF6">
              <w:rPr>
                <w:b/>
                <w:bCs/>
                <w:sz w:val="20"/>
                <w:szCs w:val="20"/>
              </w:rPr>
              <w:t>Evolution</w:t>
            </w:r>
          </w:p>
        </w:tc>
        <w:tc>
          <w:tcPr>
            <w:tcW w:w="2289" w:type="dxa"/>
            <w:shd w:val="clear" w:color="auto" w:fill="auto"/>
          </w:tcPr>
          <w:p w14:paraId="6856EFC5" w14:textId="77777777" w:rsidR="009F2508" w:rsidRPr="00380FF6" w:rsidRDefault="009F2508" w:rsidP="00213A30">
            <w:pPr>
              <w:spacing w:after="0" w:line="240" w:lineRule="auto"/>
              <w:jc w:val="center"/>
              <w:rPr>
                <w:b/>
                <w:bCs/>
                <w:sz w:val="20"/>
                <w:szCs w:val="20"/>
              </w:rPr>
            </w:pPr>
            <w:r w:rsidRPr="00380FF6">
              <w:rPr>
                <w:b/>
                <w:bCs/>
                <w:sz w:val="20"/>
                <w:szCs w:val="20"/>
              </w:rPr>
              <w:t>%</w:t>
            </w:r>
          </w:p>
        </w:tc>
      </w:tr>
      <w:tr w:rsidR="009F2508" w:rsidRPr="00546693" w14:paraId="28C6F305" w14:textId="77777777" w:rsidTr="00380FF6">
        <w:trPr>
          <w:jc w:val="center"/>
        </w:trPr>
        <w:tc>
          <w:tcPr>
            <w:tcW w:w="2321" w:type="dxa"/>
            <w:shd w:val="clear" w:color="auto" w:fill="auto"/>
            <w:vAlign w:val="center"/>
          </w:tcPr>
          <w:p w14:paraId="32C21537"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2016</w:t>
            </w:r>
          </w:p>
        </w:tc>
        <w:tc>
          <w:tcPr>
            <w:tcW w:w="2333" w:type="dxa"/>
            <w:shd w:val="clear" w:color="auto" w:fill="auto"/>
            <w:vAlign w:val="center"/>
          </w:tcPr>
          <w:p w14:paraId="5AB4B12D"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88</w:t>
            </w:r>
          </w:p>
        </w:tc>
        <w:tc>
          <w:tcPr>
            <w:tcW w:w="2343" w:type="dxa"/>
            <w:shd w:val="clear" w:color="auto" w:fill="auto"/>
            <w:vAlign w:val="center"/>
          </w:tcPr>
          <w:p w14:paraId="60FDEF27"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+ 10</w:t>
            </w:r>
          </w:p>
        </w:tc>
        <w:tc>
          <w:tcPr>
            <w:tcW w:w="2289" w:type="dxa"/>
            <w:shd w:val="clear" w:color="auto" w:fill="auto"/>
            <w:vAlign w:val="center"/>
          </w:tcPr>
          <w:p w14:paraId="08CC82EA"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+ 13%</w:t>
            </w:r>
          </w:p>
        </w:tc>
      </w:tr>
      <w:tr w:rsidR="009F2508" w:rsidRPr="00546693" w14:paraId="6FA2A11D" w14:textId="77777777" w:rsidTr="00380FF6">
        <w:trPr>
          <w:jc w:val="center"/>
        </w:trPr>
        <w:tc>
          <w:tcPr>
            <w:tcW w:w="2321" w:type="dxa"/>
            <w:shd w:val="clear" w:color="auto" w:fill="auto"/>
            <w:vAlign w:val="center"/>
          </w:tcPr>
          <w:p w14:paraId="7365E081"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2017</w:t>
            </w:r>
          </w:p>
        </w:tc>
        <w:tc>
          <w:tcPr>
            <w:tcW w:w="2333" w:type="dxa"/>
            <w:shd w:val="clear" w:color="auto" w:fill="auto"/>
            <w:vAlign w:val="center"/>
          </w:tcPr>
          <w:p w14:paraId="26629EF7"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116</w:t>
            </w:r>
          </w:p>
        </w:tc>
        <w:tc>
          <w:tcPr>
            <w:tcW w:w="2343" w:type="dxa"/>
            <w:shd w:val="clear" w:color="auto" w:fill="auto"/>
            <w:vAlign w:val="center"/>
          </w:tcPr>
          <w:p w14:paraId="30792500"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+ 28</w:t>
            </w:r>
          </w:p>
        </w:tc>
        <w:tc>
          <w:tcPr>
            <w:tcW w:w="2289" w:type="dxa"/>
            <w:shd w:val="clear" w:color="auto" w:fill="auto"/>
            <w:vAlign w:val="center"/>
          </w:tcPr>
          <w:p w14:paraId="328D3E7A"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+ 32%</w:t>
            </w:r>
          </w:p>
        </w:tc>
      </w:tr>
      <w:tr w:rsidR="009F2508" w:rsidRPr="00546693" w14:paraId="49C12DC2" w14:textId="77777777" w:rsidTr="00380FF6">
        <w:trPr>
          <w:jc w:val="center"/>
        </w:trPr>
        <w:tc>
          <w:tcPr>
            <w:tcW w:w="2321" w:type="dxa"/>
            <w:shd w:val="clear" w:color="auto" w:fill="auto"/>
            <w:vAlign w:val="center"/>
          </w:tcPr>
          <w:p w14:paraId="4D0BCAB9"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2018</w:t>
            </w:r>
          </w:p>
        </w:tc>
        <w:tc>
          <w:tcPr>
            <w:tcW w:w="2333" w:type="dxa"/>
            <w:shd w:val="clear" w:color="auto" w:fill="auto"/>
            <w:vAlign w:val="center"/>
          </w:tcPr>
          <w:p w14:paraId="586CF857"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122</w:t>
            </w:r>
          </w:p>
        </w:tc>
        <w:tc>
          <w:tcPr>
            <w:tcW w:w="2343" w:type="dxa"/>
            <w:shd w:val="clear" w:color="auto" w:fill="auto"/>
            <w:vAlign w:val="center"/>
          </w:tcPr>
          <w:p w14:paraId="67801957"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+ 6</w:t>
            </w:r>
          </w:p>
        </w:tc>
        <w:tc>
          <w:tcPr>
            <w:tcW w:w="2289" w:type="dxa"/>
            <w:shd w:val="clear" w:color="auto" w:fill="auto"/>
            <w:vAlign w:val="center"/>
          </w:tcPr>
          <w:p w14:paraId="3859027C"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+ 5%</w:t>
            </w:r>
          </w:p>
        </w:tc>
      </w:tr>
      <w:tr w:rsidR="009F2508" w:rsidRPr="00546693" w14:paraId="4E768013" w14:textId="77777777" w:rsidTr="00380FF6">
        <w:trPr>
          <w:jc w:val="center"/>
        </w:trPr>
        <w:tc>
          <w:tcPr>
            <w:tcW w:w="2321" w:type="dxa"/>
            <w:shd w:val="clear" w:color="auto" w:fill="auto"/>
            <w:vAlign w:val="center"/>
          </w:tcPr>
          <w:p w14:paraId="130535BC"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2019</w:t>
            </w:r>
          </w:p>
        </w:tc>
        <w:tc>
          <w:tcPr>
            <w:tcW w:w="2333" w:type="dxa"/>
            <w:shd w:val="clear" w:color="auto" w:fill="auto"/>
            <w:vAlign w:val="center"/>
          </w:tcPr>
          <w:p w14:paraId="49EB20FF"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156</w:t>
            </w:r>
          </w:p>
        </w:tc>
        <w:tc>
          <w:tcPr>
            <w:tcW w:w="2343" w:type="dxa"/>
            <w:shd w:val="clear" w:color="auto" w:fill="auto"/>
            <w:vAlign w:val="center"/>
          </w:tcPr>
          <w:p w14:paraId="5C5DBD36"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+ 34</w:t>
            </w:r>
          </w:p>
        </w:tc>
        <w:tc>
          <w:tcPr>
            <w:tcW w:w="2289" w:type="dxa"/>
            <w:shd w:val="clear" w:color="auto" w:fill="auto"/>
            <w:vAlign w:val="center"/>
          </w:tcPr>
          <w:p w14:paraId="1330B403"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+ 28%</w:t>
            </w:r>
          </w:p>
        </w:tc>
      </w:tr>
      <w:tr w:rsidR="009F2508" w:rsidRPr="001D6EE3" w14:paraId="767E2257" w14:textId="77777777" w:rsidTr="00380FF6">
        <w:trPr>
          <w:jc w:val="center"/>
        </w:trPr>
        <w:tc>
          <w:tcPr>
            <w:tcW w:w="2321" w:type="dxa"/>
            <w:shd w:val="clear" w:color="auto" w:fill="auto"/>
            <w:vAlign w:val="center"/>
          </w:tcPr>
          <w:p w14:paraId="331C4074"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2020</w:t>
            </w:r>
          </w:p>
        </w:tc>
        <w:tc>
          <w:tcPr>
            <w:tcW w:w="2333" w:type="dxa"/>
            <w:shd w:val="clear" w:color="auto" w:fill="auto"/>
            <w:vAlign w:val="center"/>
          </w:tcPr>
          <w:p w14:paraId="5DE17D07"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119</w:t>
            </w:r>
          </w:p>
        </w:tc>
        <w:tc>
          <w:tcPr>
            <w:tcW w:w="2343" w:type="dxa"/>
            <w:shd w:val="clear" w:color="auto" w:fill="auto"/>
            <w:vAlign w:val="center"/>
          </w:tcPr>
          <w:p w14:paraId="2E865C0C"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- 37</w:t>
            </w:r>
          </w:p>
        </w:tc>
        <w:tc>
          <w:tcPr>
            <w:tcW w:w="2289" w:type="dxa"/>
            <w:shd w:val="clear" w:color="auto" w:fill="auto"/>
            <w:vAlign w:val="center"/>
          </w:tcPr>
          <w:p w14:paraId="7385FE6A" w14:textId="77777777" w:rsidR="009F2508" w:rsidRPr="00380FF6" w:rsidRDefault="009F2508" w:rsidP="00213A30">
            <w:pPr>
              <w:spacing w:after="0" w:line="240" w:lineRule="auto"/>
              <w:jc w:val="center"/>
              <w:rPr>
                <w:rFonts w:eastAsia="Times New Roman"/>
                <w:sz w:val="20"/>
                <w:szCs w:val="20"/>
                <w:lang w:eastAsia="fr-BE"/>
              </w:rPr>
            </w:pPr>
            <w:r w:rsidRPr="00380FF6">
              <w:rPr>
                <w:rFonts w:eastAsia="Times New Roman"/>
                <w:sz w:val="20"/>
                <w:szCs w:val="20"/>
                <w:lang w:eastAsia="fr-BE"/>
              </w:rPr>
              <w:t>- 24%</w:t>
            </w:r>
          </w:p>
        </w:tc>
      </w:tr>
      <w:tr w:rsidR="009F2508" w:rsidRPr="00546693" w14:paraId="1E5B1564" w14:textId="77777777" w:rsidTr="00380FF6">
        <w:trPr>
          <w:jc w:val="center"/>
        </w:trPr>
        <w:tc>
          <w:tcPr>
            <w:tcW w:w="2321" w:type="dxa"/>
            <w:shd w:val="clear" w:color="auto" w:fill="auto"/>
            <w:vAlign w:val="center"/>
          </w:tcPr>
          <w:p w14:paraId="5FF84AEE" w14:textId="77777777" w:rsidR="009F2508" w:rsidRPr="00380FF6" w:rsidRDefault="009F2508" w:rsidP="00213A30">
            <w:pPr>
              <w:spacing w:after="0" w:line="240" w:lineRule="auto"/>
              <w:jc w:val="center"/>
              <w:rPr>
                <w:rFonts w:eastAsia="Times New Roman"/>
                <w:b/>
                <w:bCs/>
                <w:sz w:val="20"/>
                <w:szCs w:val="20"/>
                <w:lang w:eastAsia="fr-BE"/>
              </w:rPr>
            </w:pPr>
            <w:r w:rsidRPr="00380FF6">
              <w:rPr>
                <w:rFonts w:eastAsia="Times New Roman"/>
                <w:b/>
                <w:bCs/>
                <w:sz w:val="20"/>
                <w:szCs w:val="20"/>
                <w:lang w:eastAsia="fr-BE"/>
              </w:rPr>
              <w:t>2021</w:t>
            </w:r>
          </w:p>
        </w:tc>
        <w:tc>
          <w:tcPr>
            <w:tcW w:w="2333" w:type="dxa"/>
            <w:shd w:val="clear" w:color="auto" w:fill="auto"/>
            <w:vAlign w:val="center"/>
          </w:tcPr>
          <w:p w14:paraId="535F78E2" w14:textId="77777777" w:rsidR="009F2508" w:rsidRPr="00380FF6" w:rsidRDefault="009F2508" w:rsidP="00213A30">
            <w:pPr>
              <w:spacing w:after="0" w:line="240" w:lineRule="auto"/>
              <w:jc w:val="center"/>
              <w:rPr>
                <w:rFonts w:eastAsia="Times New Roman"/>
                <w:b/>
                <w:bCs/>
                <w:sz w:val="20"/>
                <w:szCs w:val="20"/>
                <w:lang w:eastAsia="fr-BE"/>
              </w:rPr>
            </w:pPr>
            <w:r w:rsidRPr="00380FF6">
              <w:rPr>
                <w:rFonts w:eastAsia="Times New Roman"/>
                <w:b/>
                <w:bCs/>
                <w:sz w:val="20"/>
                <w:szCs w:val="20"/>
                <w:lang w:eastAsia="fr-BE"/>
              </w:rPr>
              <w:t>75</w:t>
            </w:r>
          </w:p>
        </w:tc>
        <w:tc>
          <w:tcPr>
            <w:tcW w:w="2343" w:type="dxa"/>
            <w:shd w:val="clear" w:color="auto" w:fill="auto"/>
            <w:vAlign w:val="center"/>
          </w:tcPr>
          <w:p w14:paraId="10AD4993" w14:textId="77777777" w:rsidR="009F2508" w:rsidRPr="00380FF6" w:rsidRDefault="009F2508" w:rsidP="00213A30">
            <w:pPr>
              <w:pStyle w:val="Paragraphedeliste"/>
              <w:numPr>
                <w:ilvl w:val="0"/>
                <w:numId w:val="3"/>
              </w:numPr>
              <w:spacing w:after="0" w:line="240" w:lineRule="auto"/>
              <w:jc w:val="center"/>
              <w:rPr>
                <w:rFonts w:eastAsia="Times New Roman"/>
                <w:b/>
                <w:bCs/>
                <w:sz w:val="20"/>
                <w:szCs w:val="20"/>
                <w:lang w:eastAsia="fr-BE"/>
              </w:rPr>
            </w:pPr>
            <w:r w:rsidRPr="00380FF6">
              <w:rPr>
                <w:rFonts w:eastAsia="Times New Roman"/>
                <w:b/>
                <w:bCs/>
                <w:sz w:val="20"/>
                <w:szCs w:val="20"/>
                <w:lang w:eastAsia="fr-BE"/>
              </w:rPr>
              <w:t>44</w:t>
            </w:r>
          </w:p>
        </w:tc>
        <w:tc>
          <w:tcPr>
            <w:tcW w:w="2289" w:type="dxa"/>
            <w:shd w:val="clear" w:color="auto" w:fill="auto"/>
            <w:vAlign w:val="center"/>
          </w:tcPr>
          <w:p w14:paraId="62EC4D37" w14:textId="77777777" w:rsidR="009F2508" w:rsidRPr="00380FF6" w:rsidRDefault="009F2508" w:rsidP="00213A30">
            <w:pPr>
              <w:pStyle w:val="Paragraphedeliste"/>
              <w:spacing w:after="0" w:line="240" w:lineRule="auto"/>
              <w:rPr>
                <w:rFonts w:eastAsia="Times New Roman"/>
                <w:b/>
                <w:bCs/>
                <w:sz w:val="20"/>
                <w:szCs w:val="20"/>
                <w:lang w:eastAsia="fr-BE"/>
              </w:rPr>
            </w:pPr>
            <w:r w:rsidRPr="00380FF6">
              <w:rPr>
                <w:rFonts w:eastAsia="Times New Roman"/>
                <w:b/>
                <w:bCs/>
                <w:sz w:val="20"/>
                <w:szCs w:val="20"/>
                <w:lang w:eastAsia="fr-BE"/>
              </w:rPr>
              <w:t>- 37 %</w:t>
            </w:r>
          </w:p>
        </w:tc>
      </w:tr>
    </w:tbl>
    <w:p w14:paraId="27507213" w14:textId="77777777" w:rsidR="009F2508" w:rsidRDefault="009F2508" w:rsidP="00213A30">
      <w:pPr>
        <w:spacing w:after="0" w:line="240" w:lineRule="auto"/>
        <w:jc w:val="both"/>
      </w:pPr>
    </w:p>
    <w:p w14:paraId="096E162E" w14:textId="62AFBBCB" w:rsidR="009F2508" w:rsidRDefault="009F2508" w:rsidP="00213A30">
      <w:pPr>
        <w:spacing w:after="0" w:line="240" w:lineRule="auto"/>
        <w:jc w:val="both"/>
      </w:pPr>
      <w:r>
        <w:t>Ce mode de transport exporte principalement des aciers spéciaux pour le secteur automobile</w:t>
      </w:r>
      <w:r w:rsidRPr="008626E9">
        <w:t xml:space="preserve">. </w:t>
      </w:r>
      <w:r>
        <w:t>La crise mondiale dans le domaine des semi-conducteurs et les difficultés rencontrées par le sidérurgiste Liberty Steel ont entraîné une forte réduction de son usage.</w:t>
      </w:r>
      <w:r w:rsidR="006479F0">
        <w:t xml:space="preserve"> </w:t>
      </w:r>
      <w:r>
        <w:t>123.256 tonnes d’aciers d’origines diverses ont été exportées vers la Grande-Bretagne, l’Espagne, le Portugal et le Danemark.</w:t>
      </w:r>
    </w:p>
    <w:p w14:paraId="00F59B4A" w14:textId="77777777" w:rsidR="00213A30" w:rsidRDefault="00213A30" w:rsidP="00213A30">
      <w:pPr>
        <w:spacing w:after="0" w:line="240" w:lineRule="auto"/>
        <w:jc w:val="both"/>
      </w:pPr>
    </w:p>
    <w:p w14:paraId="70A64A29" w14:textId="3419A7B7" w:rsidR="00224A6B" w:rsidRDefault="00224A6B" w:rsidP="00213A30">
      <w:pPr>
        <w:spacing w:after="0" w:line="240" w:lineRule="auto"/>
      </w:pPr>
      <w:r>
        <w:br w:type="page"/>
      </w:r>
    </w:p>
    <w:p w14:paraId="342EAE07" w14:textId="5802C60E" w:rsidR="00213A30" w:rsidRDefault="00213A30" w:rsidP="00213A30">
      <w:pPr>
        <w:spacing w:after="0" w:line="240" w:lineRule="auto"/>
        <w:jc w:val="both"/>
      </w:pPr>
    </w:p>
    <w:p w14:paraId="7D74FC92" w14:textId="77777777" w:rsidR="00213A30" w:rsidRPr="00213A30" w:rsidRDefault="00213A30" w:rsidP="00213A30">
      <w:pPr>
        <w:spacing w:after="0" w:line="240" w:lineRule="auto"/>
        <w:jc w:val="both"/>
      </w:pPr>
    </w:p>
    <w:p w14:paraId="61D327E3" w14:textId="0BCAE563" w:rsidR="00224A6B" w:rsidRPr="002D1856" w:rsidRDefault="00224A6B" w:rsidP="00213A30">
      <w:pPr>
        <w:pStyle w:val="Chapitre"/>
        <w:spacing w:after="0" w:line="240" w:lineRule="auto"/>
        <w:rPr>
          <w:rFonts w:cs="Arial"/>
        </w:rPr>
      </w:pPr>
      <w:r>
        <w:rPr>
          <w:rFonts w:cs="Arial"/>
        </w:rPr>
        <w:t>3.</w:t>
      </w:r>
      <w:r w:rsidR="0056119B">
        <w:rPr>
          <w:rFonts w:cs="Arial"/>
        </w:rPr>
        <w:t xml:space="preserve"> </w:t>
      </w:r>
      <w:r>
        <w:rPr>
          <w:rFonts w:cs="Arial"/>
        </w:rPr>
        <w:t>Trafic global (eau-rail-route)</w:t>
      </w:r>
    </w:p>
    <w:p w14:paraId="32E0BC6C" w14:textId="732AFA8B" w:rsidR="009F2508" w:rsidRDefault="009F2508" w:rsidP="00213A30">
      <w:pPr>
        <w:spacing w:after="0" w:line="240" w:lineRule="auto"/>
        <w:jc w:val="both"/>
      </w:pPr>
    </w:p>
    <w:tbl>
      <w:tblPr>
        <w:tblW w:w="8041" w:type="dxa"/>
        <w:tblInd w:w="648" w:type="dxa"/>
        <w:tblBorders>
          <w:top w:val="single" w:sz="12" w:space="0" w:color="000000"/>
          <w:bottom w:val="single" w:sz="12" w:space="0" w:color="000000"/>
          <w:insideH w:val="single" w:sz="6" w:space="0" w:color="000000"/>
        </w:tblBorders>
        <w:tblLook w:val="0060" w:firstRow="1" w:lastRow="1" w:firstColumn="0" w:lastColumn="0" w:noHBand="0" w:noVBand="0"/>
      </w:tblPr>
      <w:tblGrid>
        <w:gridCol w:w="1815"/>
        <w:gridCol w:w="1980"/>
        <w:gridCol w:w="1546"/>
        <w:gridCol w:w="1546"/>
        <w:gridCol w:w="1154"/>
      </w:tblGrid>
      <w:tr w:rsidR="009F2508" w:rsidRPr="002A7DB4" w14:paraId="046C5132" w14:textId="77777777" w:rsidTr="004E21FB">
        <w:trPr>
          <w:trHeight w:val="300"/>
        </w:trPr>
        <w:tc>
          <w:tcPr>
            <w:tcW w:w="1815" w:type="dxa"/>
            <w:tcBorders>
              <w:bottom w:val="single" w:sz="12" w:space="0" w:color="000000"/>
            </w:tcBorders>
            <w:shd w:val="clear" w:color="auto" w:fill="auto"/>
            <w:noWrap/>
          </w:tcPr>
          <w:p w14:paraId="72A937EC" w14:textId="77777777" w:rsidR="009F2508" w:rsidRPr="002A7DB4" w:rsidRDefault="009F2508" w:rsidP="00213A30">
            <w:pPr>
              <w:spacing w:after="0" w:line="240" w:lineRule="auto"/>
              <w:ind w:left="180"/>
              <w:rPr>
                <w:b/>
                <w:bCs/>
              </w:rPr>
            </w:pPr>
            <w:r w:rsidRPr="002A7DB4">
              <w:rPr>
                <w:b/>
                <w:bCs/>
              </w:rPr>
              <w:t>Mode</w:t>
            </w:r>
          </w:p>
        </w:tc>
        <w:tc>
          <w:tcPr>
            <w:tcW w:w="1980" w:type="dxa"/>
            <w:tcBorders>
              <w:bottom w:val="single" w:sz="12" w:space="0" w:color="000000"/>
            </w:tcBorders>
          </w:tcPr>
          <w:p w14:paraId="60D35DE1" w14:textId="77777777" w:rsidR="009F2508" w:rsidRPr="002A7DB4" w:rsidRDefault="009F2508" w:rsidP="00213A30">
            <w:pPr>
              <w:spacing w:after="0" w:line="240" w:lineRule="auto"/>
              <w:jc w:val="center"/>
              <w:rPr>
                <w:b/>
                <w:bCs/>
              </w:rPr>
            </w:pPr>
            <w:r>
              <w:rPr>
                <w:b/>
                <w:bCs/>
              </w:rPr>
              <w:t>2020</w:t>
            </w:r>
          </w:p>
        </w:tc>
        <w:tc>
          <w:tcPr>
            <w:tcW w:w="1546" w:type="dxa"/>
            <w:tcBorders>
              <w:bottom w:val="single" w:sz="12" w:space="0" w:color="000000"/>
            </w:tcBorders>
          </w:tcPr>
          <w:p w14:paraId="27C57867" w14:textId="77777777" w:rsidR="009F2508" w:rsidRPr="002A7DB4" w:rsidRDefault="009F2508" w:rsidP="00213A30">
            <w:pPr>
              <w:spacing w:after="0" w:line="240" w:lineRule="auto"/>
              <w:jc w:val="center"/>
              <w:rPr>
                <w:b/>
                <w:bCs/>
              </w:rPr>
            </w:pPr>
            <w:r>
              <w:rPr>
                <w:b/>
                <w:bCs/>
              </w:rPr>
              <w:t>2021</w:t>
            </w:r>
          </w:p>
        </w:tc>
        <w:tc>
          <w:tcPr>
            <w:tcW w:w="1546" w:type="dxa"/>
            <w:tcBorders>
              <w:bottom w:val="single" w:sz="12" w:space="0" w:color="000000"/>
            </w:tcBorders>
            <w:shd w:val="clear" w:color="auto" w:fill="auto"/>
            <w:noWrap/>
          </w:tcPr>
          <w:p w14:paraId="5DA8BDF7" w14:textId="77777777" w:rsidR="009F2508" w:rsidRPr="002A7DB4" w:rsidRDefault="009F2508" w:rsidP="00213A30">
            <w:pPr>
              <w:spacing w:after="0" w:line="240" w:lineRule="auto"/>
              <w:jc w:val="center"/>
              <w:rPr>
                <w:b/>
                <w:bCs/>
              </w:rPr>
            </w:pPr>
            <w:r w:rsidRPr="002A7DB4">
              <w:rPr>
                <w:b/>
                <w:bCs/>
              </w:rPr>
              <w:t>Variation</w:t>
            </w:r>
          </w:p>
        </w:tc>
        <w:tc>
          <w:tcPr>
            <w:tcW w:w="1154" w:type="dxa"/>
            <w:tcBorders>
              <w:bottom w:val="single" w:sz="12" w:space="0" w:color="000000"/>
            </w:tcBorders>
            <w:shd w:val="clear" w:color="auto" w:fill="auto"/>
            <w:noWrap/>
          </w:tcPr>
          <w:p w14:paraId="2D8C8F90" w14:textId="77777777" w:rsidR="009F2508" w:rsidRPr="002A7DB4" w:rsidRDefault="009F2508" w:rsidP="00213A30">
            <w:pPr>
              <w:spacing w:after="0" w:line="240" w:lineRule="auto"/>
              <w:jc w:val="center"/>
              <w:rPr>
                <w:b/>
                <w:bCs/>
              </w:rPr>
            </w:pPr>
            <w:r w:rsidRPr="002A7DB4">
              <w:rPr>
                <w:b/>
                <w:bCs/>
              </w:rPr>
              <w:t>%</w:t>
            </w:r>
          </w:p>
        </w:tc>
      </w:tr>
      <w:tr w:rsidR="009F2508" w:rsidRPr="002A7DB4" w14:paraId="4E575427" w14:textId="77777777" w:rsidTr="004E21FB">
        <w:trPr>
          <w:trHeight w:val="300"/>
        </w:trPr>
        <w:tc>
          <w:tcPr>
            <w:tcW w:w="1815" w:type="dxa"/>
            <w:shd w:val="clear" w:color="auto" w:fill="auto"/>
            <w:noWrap/>
          </w:tcPr>
          <w:p w14:paraId="4A73A263" w14:textId="77777777" w:rsidR="009F2508" w:rsidRPr="002A7DB4" w:rsidRDefault="009F2508" w:rsidP="00213A30">
            <w:pPr>
              <w:spacing w:after="0" w:line="240" w:lineRule="auto"/>
              <w:jc w:val="both"/>
            </w:pPr>
            <w:r w:rsidRPr="002A7DB4">
              <w:t xml:space="preserve"> Voie d'eau</w:t>
            </w:r>
          </w:p>
        </w:tc>
        <w:tc>
          <w:tcPr>
            <w:tcW w:w="1980" w:type="dxa"/>
          </w:tcPr>
          <w:p w14:paraId="512984C8" w14:textId="77777777" w:rsidR="009F2508" w:rsidRPr="002A7DB4" w:rsidRDefault="009F2508" w:rsidP="00213A30">
            <w:pPr>
              <w:spacing w:after="0" w:line="240" w:lineRule="auto"/>
              <w:ind w:left="261"/>
              <w:jc w:val="both"/>
            </w:pPr>
            <w:r>
              <w:t>13.982.321</w:t>
            </w:r>
          </w:p>
        </w:tc>
        <w:tc>
          <w:tcPr>
            <w:tcW w:w="1546" w:type="dxa"/>
          </w:tcPr>
          <w:p w14:paraId="40D7DE2C" w14:textId="77777777" w:rsidR="009F2508" w:rsidRDefault="009F2508" w:rsidP="00213A30">
            <w:pPr>
              <w:spacing w:after="0" w:line="240" w:lineRule="auto"/>
              <w:ind w:left="200"/>
              <w:jc w:val="both"/>
            </w:pPr>
            <w:r>
              <w:t>14.924.899</w:t>
            </w:r>
          </w:p>
        </w:tc>
        <w:tc>
          <w:tcPr>
            <w:tcW w:w="1546" w:type="dxa"/>
            <w:shd w:val="clear" w:color="auto" w:fill="auto"/>
            <w:noWrap/>
          </w:tcPr>
          <w:p w14:paraId="34731EF1" w14:textId="77777777" w:rsidR="009F2508" w:rsidRPr="002A7DB4" w:rsidRDefault="009F2508" w:rsidP="00213A30">
            <w:pPr>
              <w:spacing w:after="0" w:line="240" w:lineRule="auto"/>
              <w:ind w:left="200"/>
              <w:jc w:val="both"/>
            </w:pPr>
            <w:r>
              <w:t>+942.578</w:t>
            </w:r>
          </w:p>
        </w:tc>
        <w:tc>
          <w:tcPr>
            <w:tcW w:w="1154" w:type="dxa"/>
            <w:shd w:val="clear" w:color="auto" w:fill="auto"/>
            <w:noWrap/>
          </w:tcPr>
          <w:p w14:paraId="3F76DF0A" w14:textId="77777777" w:rsidR="009F2508" w:rsidRPr="002A7DB4" w:rsidRDefault="009F2508" w:rsidP="00213A30">
            <w:pPr>
              <w:spacing w:after="0" w:line="240" w:lineRule="auto"/>
              <w:ind w:left="194"/>
              <w:jc w:val="both"/>
            </w:pPr>
            <w:r>
              <w:t>+7</w:t>
            </w:r>
          </w:p>
        </w:tc>
      </w:tr>
      <w:tr w:rsidR="009F2508" w:rsidRPr="002A7DB4" w14:paraId="665B0EFD" w14:textId="77777777" w:rsidTr="004E21FB">
        <w:trPr>
          <w:trHeight w:val="300"/>
        </w:trPr>
        <w:tc>
          <w:tcPr>
            <w:tcW w:w="1815" w:type="dxa"/>
            <w:shd w:val="clear" w:color="auto" w:fill="auto"/>
            <w:noWrap/>
          </w:tcPr>
          <w:p w14:paraId="07444DFD" w14:textId="77777777" w:rsidR="009F2508" w:rsidRPr="002A7DB4" w:rsidRDefault="009F2508" w:rsidP="00213A30">
            <w:pPr>
              <w:spacing w:after="0" w:line="240" w:lineRule="auto"/>
              <w:jc w:val="both"/>
            </w:pPr>
            <w:r w:rsidRPr="002A7DB4">
              <w:t xml:space="preserve"> Route</w:t>
            </w:r>
          </w:p>
        </w:tc>
        <w:tc>
          <w:tcPr>
            <w:tcW w:w="1980" w:type="dxa"/>
          </w:tcPr>
          <w:p w14:paraId="62709303" w14:textId="77777777" w:rsidR="009F2508" w:rsidRPr="002A7DB4" w:rsidRDefault="009F2508" w:rsidP="00213A30">
            <w:pPr>
              <w:spacing w:after="0" w:line="240" w:lineRule="auto"/>
              <w:ind w:left="261"/>
              <w:jc w:val="both"/>
            </w:pPr>
            <w:r>
              <w:t>4.410.651</w:t>
            </w:r>
          </w:p>
        </w:tc>
        <w:tc>
          <w:tcPr>
            <w:tcW w:w="1546" w:type="dxa"/>
          </w:tcPr>
          <w:p w14:paraId="13C4CB76" w14:textId="77777777" w:rsidR="009F2508" w:rsidRDefault="009F2508" w:rsidP="00213A30">
            <w:pPr>
              <w:spacing w:after="0" w:line="240" w:lineRule="auto"/>
              <w:ind w:left="200"/>
              <w:jc w:val="both"/>
            </w:pPr>
            <w:r>
              <w:t>3.861.071</w:t>
            </w:r>
          </w:p>
        </w:tc>
        <w:tc>
          <w:tcPr>
            <w:tcW w:w="1546" w:type="dxa"/>
            <w:shd w:val="clear" w:color="auto" w:fill="auto"/>
            <w:noWrap/>
          </w:tcPr>
          <w:p w14:paraId="7FBE1A85" w14:textId="77777777" w:rsidR="009F2508" w:rsidRPr="002A7DB4" w:rsidRDefault="009F2508" w:rsidP="00213A30">
            <w:pPr>
              <w:spacing w:after="0" w:line="240" w:lineRule="auto"/>
              <w:ind w:left="200"/>
              <w:jc w:val="both"/>
            </w:pPr>
            <w:r>
              <w:t>-549.580</w:t>
            </w:r>
          </w:p>
        </w:tc>
        <w:tc>
          <w:tcPr>
            <w:tcW w:w="1154" w:type="dxa"/>
            <w:shd w:val="clear" w:color="auto" w:fill="auto"/>
            <w:noWrap/>
          </w:tcPr>
          <w:p w14:paraId="3B0C6A69" w14:textId="77777777" w:rsidR="009F2508" w:rsidRPr="002A7DB4" w:rsidRDefault="009F2508" w:rsidP="00213A30">
            <w:pPr>
              <w:spacing w:after="0" w:line="240" w:lineRule="auto"/>
              <w:ind w:left="194"/>
              <w:jc w:val="both"/>
            </w:pPr>
            <w:r>
              <w:t>-12</w:t>
            </w:r>
          </w:p>
        </w:tc>
      </w:tr>
      <w:tr w:rsidR="009F2508" w:rsidRPr="002A7DB4" w14:paraId="42670D52" w14:textId="77777777" w:rsidTr="004E21FB">
        <w:trPr>
          <w:trHeight w:val="300"/>
        </w:trPr>
        <w:tc>
          <w:tcPr>
            <w:tcW w:w="1815" w:type="dxa"/>
            <w:shd w:val="clear" w:color="auto" w:fill="auto"/>
            <w:noWrap/>
          </w:tcPr>
          <w:p w14:paraId="4E5AFFBD" w14:textId="77777777" w:rsidR="009F2508" w:rsidRPr="002A7DB4" w:rsidRDefault="009F2508" w:rsidP="00213A30">
            <w:pPr>
              <w:spacing w:after="0" w:line="240" w:lineRule="auto"/>
              <w:jc w:val="both"/>
            </w:pPr>
            <w:r w:rsidRPr="002A7DB4">
              <w:t xml:space="preserve"> Rail</w:t>
            </w:r>
          </w:p>
        </w:tc>
        <w:tc>
          <w:tcPr>
            <w:tcW w:w="1980" w:type="dxa"/>
          </w:tcPr>
          <w:p w14:paraId="1411CADB" w14:textId="77777777" w:rsidR="009F2508" w:rsidRPr="002A7DB4" w:rsidRDefault="009F2508" w:rsidP="00213A30">
            <w:pPr>
              <w:spacing w:after="0" w:line="240" w:lineRule="auto"/>
              <w:ind w:left="261"/>
              <w:jc w:val="both"/>
            </w:pPr>
            <w:r>
              <w:t>860.373</w:t>
            </w:r>
          </w:p>
        </w:tc>
        <w:tc>
          <w:tcPr>
            <w:tcW w:w="1546" w:type="dxa"/>
          </w:tcPr>
          <w:p w14:paraId="099FFB32" w14:textId="77777777" w:rsidR="009F2508" w:rsidRDefault="009F2508" w:rsidP="00213A30">
            <w:pPr>
              <w:spacing w:after="0" w:line="240" w:lineRule="auto"/>
              <w:ind w:left="200"/>
              <w:jc w:val="both"/>
            </w:pPr>
            <w:r>
              <w:t>629.653</w:t>
            </w:r>
          </w:p>
        </w:tc>
        <w:tc>
          <w:tcPr>
            <w:tcW w:w="1546" w:type="dxa"/>
            <w:shd w:val="clear" w:color="auto" w:fill="auto"/>
            <w:noWrap/>
          </w:tcPr>
          <w:p w14:paraId="59745327" w14:textId="77777777" w:rsidR="009F2508" w:rsidRPr="002A7DB4" w:rsidRDefault="009F2508" w:rsidP="00213A30">
            <w:pPr>
              <w:spacing w:after="0" w:line="240" w:lineRule="auto"/>
              <w:ind w:left="200"/>
              <w:jc w:val="both"/>
            </w:pPr>
            <w:r>
              <w:t>-230.720</w:t>
            </w:r>
          </w:p>
        </w:tc>
        <w:tc>
          <w:tcPr>
            <w:tcW w:w="1154" w:type="dxa"/>
            <w:shd w:val="clear" w:color="auto" w:fill="auto"/>
            <w:noWrap/>
          </w:tcPr>
          <w:p w14:paraId="5EA6DC87" w14:textId="77777777" w:rsidR="009F2508" w:rsidRPr="002A7DB4" w:rsidRDefault="009F2508" w:rsidP="00213A30">
            <w:pPr>
              <w:spacing w:after="0" w:line="240" w:lineRule="auto"/>
              <w:ind w:left="194"/>
              <w:jc w:val="both"/>
            </w:pPr>
            <w:r>
              <w:t>-27</w:t>
            </w:r>
          </w:p>
        </w:tc>
      </w:tr>
      <w:tr w:rsidR="009F2508" w:rsidRPr="002A7DB4" w14:paraId="357857F5" w14:textId="77777777" w:rsidTr="004E21FB">
        <w:trPr>
          <w:trHeight w:val="300"/>
        </w:trPr>
        <w:tc>
          <w:tcPr>
            <w:tcW w:w="1815" w:type="dxa"/>
            <w:tcBorders>
              <w:top w:val="single" w:sz="12" w:space="0" w:color="000000"/>
            </w:tcBorders>
            <w:shd w:val="clear" w:color="auto" w:fill="auto"/>
            <w:noWrap/>
          </w:tcPr>
          <w:p w14:paraId="0676DA4F" w14:textId="77777777" w:rsidR="009F2508" w:rsidRPr="002A7DB4" w:rsidRDefault="009F2508" w:rsidP="00213A30">
            <w:pPr>
              <w:spacing w:after="0" w:line="240" w:lineRule="auto"/>
              <w:jc w:val="both"/>
              <w:rPr>
                <w:b/>
              </w:rPr>
            </w:pPr>
            <w:r w:rsidRPr="002A7DB4">
              <w:rPr>
                <w:b/>
              </w:rPr>
              <w:t xml:space="preserve"> Total</w:t>
            </w:r>
          </w:p>
        </w:tc>
        <w:tc>
          <w:tcPr>
            <w:tcW w:w="1980" w:type="dxa"/>
            <w:tcBorders>
              <w:top w:val="single" w:sz="12" w:space="0" w:color="000000"/>
            </w:tcBorders>
          </w:tcPr>
          <w:p w14:paraId="18A1C22C" w14:textId="77777777" w:rsidR="009F2508" w:rsidRPr="002A7DB4" w:rsidRDefault="009F2508" w:rsidP="00213A30">
            <w:pPr>
              <w:spacing w:after="0" w:line="240" w:lineRule="auto"/>
              <w:ind w:left="261"/>
              <w:jc w:val="both"/>
              <w:rPr>
                <w:b/>
              </w:rPr>
            </w:pPr>
            <w:r>
              <w:rPr>
                <w:b/>
              </w:rPr>
              <w:t>19.253.345</w:t>
            </w:r>
          </w:p>
        </w:tc>
        <w:tc>
          <w:tcPr>
            <w:tcW w:w="1546" w:type="dxa"/>
            <w:tcBorders>
              <w:top w:val="single" w:sz="12" w:space="0" w:color="000000"/>
            </w:tcBorders>
          </w:tcPr>
          <w:p w14:paraId="10A2D1AD" w14:textId="7CB71E1C" w:rsidR="009F2508" w:rsidRPr="007961DF" w:rsidRDefault="009F2508" w:rsidP="00213A30">
            <w:pPr>
              <w:spacing w:after="0" w:line="240" w:lineRule="auto"/>
              <w:ind w:left="261"/>
              <w:jc w:val="both"/>
              <w:rPr>
                <w:b/>
                <w:color w:val="FF0000"/>
              </w:rPr>
            </w:pPr>
            <w:r w:rsidRPr="005E2E05">
              <w:rPr>
                <w:b/>
              </w:rPr>
              <w:t>19.415.</w:t>
            </w:r>
            <w:r w:rsidR="007961DF" w:rsidRPr="005E2E05">
              <w:rPr>
                <w:b/>
              </w:rPr>
              <w:t>623</w:t>
            </w:r>
          </w:p>
        </w:tc>
        <w:tc>
          <w:tcPr>
            <w:tcW w:w="1546" w:type="dxa"/>
            <w:tcBorders>
              <w:top w:val="single" w:sz="12" w:space="0" w:color="000000"/>
            </w:tcBorders>
            <w:shd w:val="clear" w:color="auto" w:fill="auto"/>
            <w:noWrap/>
          </w:tcPr>
          <w:p w14:paraId="51529C75" w14:textId="77777777" w:rsidR="009F2508" w:rsidRPr="002A7DB4" w:rsidRDefault="009F2508" w:rsidP="00213A30">
            <w:pPr>
              <w:spacing w:after="0" w:line="240" w:lineRule="auto"/>
              <w:ind w:left="200"/>
              <w:jc w:val="both"/>
              <w:rPr>
                <w:b/>
              </w:rPr>
            </w:pPr>
            <w:r>
              <w:rPr>
                <w:b/>
              </w:rPr>
              <w:t>-162.287</w:t>
            </w:r>
          </w:p>
        </w:tc>
        <w:tc>
          <w:tcPr>
            <w:tcW w:w="1154" w:type="dxa"/>
            <w:tcBorders>
              <w:top w:val="single" w:sz="12" w:space="0" w:color="000000"/>
            </w:tcBorders>
            <w:shd w:val="clear" w:color="auto" w:fill="auto"/>
            <w:noWrap/>
          </w:tcPr>
          <w:p w14:paraId="694920B3" w14:textId="77777777" w:rsidR="009F2508" w:rsidRPr="002A7DB4" w:rsidRDefault="009F2508" w:rsidP="00213A30">
            <w:pPr>
              <w:spacing w:after="0" w:line="240" w:lineRule="auto"/>
              <w:ind w:left="194"/>
              <w:jc w:val="both"/>
              <w:rPr>
                <w:b/>
              </w:rPr>
            </w:pPr>
            <w:r>
              <w:rPr>
                <w:b/>
              </w:rPr>
              <w:t>+1</w:t>
            </w:r>
          </w:p>
        </w:tc>
      </w:tr>
    </w:tbl>
    <w:p w14:paraId="64D31F2E" w14:textId="77777777" w:rsidR="009F2508" w:rsidRDefault="009F2508" w:rsidP="00213A30">
      <w:pPr>
        <w:spacing w:after="0" w:line="240" w:lineRule="auto"/>
        <w:jc w:val="both"/>
        <w:rPr>
          <w:b/>
          <w:i/>
        </w:rPr>
      </w:pPr>
      <w:r w:rsidRPr="002A7DB4">
        <w:tab/>
      </w:r>
      <w:r w:rsidRPr="002A7DB4">
        <w:tab/>
      </w:r>
      <w:r w:rsidRPr="002A7DB4">
        <w:tab/>
      </w:r>
      <w:r w:rsidRPr="002A7DB4">
        <w:tab/>
      </w:r>
      <w:r w:rsidRPr="002A7DB4">
        <w:tab/>
      </w:r>
      <w:r w:rsidRPr="002A7DB4">
        <w:tab/>
      </w:r>
      <w:r w:rsidRPr="002A7DB4">
        <w:tab/>
      </w:r>
      <w:r w:rsidRPr="002A7DB4">
        <w:tab/>
      </w:r>
      <w:r w:rsidRPr="002A7DB4">
        <w:tab/>
        <w:t xml:space="preserve">                                 </w:t>
      </w:r>
      <w:r w:rsidRPr="002A7DB4">
        <w:rPr>
          <w:b/>
          <w:i/>
        </w:rPr>
        <w:t>En tonnes</w:t>
      </w:r>
    </w:p>
    <w:p w14:paraId="12600500" w14:textId="77777777" w:rsidR="009F2508" w:rsidRDefault="009F2508" w:rsidP="00213A30">
      <w:pPr>
        <w:spacing w:after="0" w:line="240" w:lineRule="auto"/>
        <w:jc w:val="both"/>
      </w:pPr>
    </w:p>
    <w:p w14:paraId="08AC89F3" w14:textId="4486FD18" w:rsidR="009F2508" w:rsidRDefault="009F2508" w:rsidP="00213A30">
      <w:pPr>
        <w:spacing w:after="0" w:line="240" w:lineRule="auto"/>
        <w:jc w:val="both"/>
      </w:pPr>
      <w:r>
        <w:t xml:space="preserve">Au niveau du mode routier, les pertes sont engendrées par une diminution d’activités sur le terminal à </w:t>
      </w:r>
      <w:proofErr w:type="spellStart"/>
      <w:r>
        <w:t>coils</w:t>
      </w:r>
      <w:proofErr w:type="spellEnd"/>
      <w:r>
        <w:t xml:space="preserve"> de </w:t>
      </w:r>
      <w:proofErr w:type="spellStart"/>
      <w:r>
        <w:t>Renory</w:t>
      </w:r>
      <w:proofErr w:type="spellEnd"/>
      <w:r>
        <w:t xml:space="preserve"> (-380.000 tonnes) et par une diminution des flux routiers au terminal à conteneurs de Liège </w:t>
      </w:r>
      <w:proofErr w:type="spellStart"/>
      <w:r>
        <w:t>Trilogiport</w:t>
      </w:r>
      <w:proofErr w:type="spellEnd"/>
      <w:r>
        <w:t xml:space="preserve"> </w:t>
      </w:r>
      <w:r w:rsidR="00213A30">
        <w:br/>
      </w:r>
      <w:r>
        <w:t>(-180.000 tonnes).</w:t>
      </w:r>
    </w:p>
    <w:p w14:paraId="5E34E48D" w14:textId="77777777" w:rsidR="009F2508" w:rsidRDefault="009F2508" w:rsidP="00213A30">
      <w:pPr>
        <w:spacing w:after="0" w:line="240" w:lineRule="auto"/>
        <w:jc w:val="both"/>
      </w:pPr>
    </w:p>
    <w:p w14:paraId="78F8A579" w14:textId="0C0A660D" w:rsidR="00C016ED" w:rsidRDefault="009F2508" w:rsidP="00213A30">
      <w:pPr>
        <w:spacing w:after="0" w:line="240" w:lineRule="auto"/>
        <w:jc w:val="both"/>
      </w:pPr>
      <w:r>
        <w:t xml:space="preserve">Au niveau du mode ferroviaire, c’est également une perte de 300.000 tonnes de </w:t>
      </w:r>
      <w:proofErr w:type="spellStart"/>
      <w:r>
        <w:t>coils</w:t>
      </w:r>
      <w:proofErr w:type="spellEnd"/>
      <w:r>
        <w:t xml:space="preserve"> qui impacte négativement les résultats.</w:t>
      </w:r>
    </w:p>
    <w:p w14:paraId="05F9C1B0" w14:textId="126F463A" w:rsidR="00213A30" w:rsidRDefault="00213A30" w:rsidP="00213A30">
      <w:pPr>
        <w:spacing w:after="0" w:line="240" w:lineRule="auto"/>
        <w:jc w:val="both"/>
      </w:pPr>
    </w:p>
    <w:p w14:paraId="51E5DB63" w14:textId="7A1E4744" w:rsidR="00916379" w:rsidRDefault="00916379" w:rsidP="00213A30">
      <w:pPr>
        <w:spacing w:after="0" w:line="240" w:lineRule="auto"/>
        <w:jc w:val="both"/>
      </w:pPr>
    </w:p>
    <w:p w14:paraId="120B37AD" w14:textId="52919BFF" w:rsidR="00916379" w:rsidRPr="00916379" w:rsidRDefault="00916379" w:rsidP="00916379">
      <w:pPr>
        <w:pStyle w:val="Chapitre"/>
        <w:spacing w:after="0" w:line="240" w:lineRule="auto"/>
        <w:rPr>
          <w:rFonts w:cs="Arial"/>
          <w:sz w:val="22"/>
          <w:szCs w:val="22"/>
        </w:rPr>
      </w:pPr>
      <w:r w:rsidRPr="00916379">
        <w:rPr>
          <w:rFonts w:cs="Arial"/>
          <w:sz w:val="22"/>
          <w:szCs w:val="22"/>
        </w:rPr>
        <w:t xml:space="preserve">Comparaison avec les tonnages </w:t>
      </w:r>
      <w:r w:rsidRPr="00916379">
        <w:rPr>
          <w:rFonts w:cs="Arial"/>
          <w:sz w:val="22"/>
          <w:szCs w:val="22"/>
        </w:rPr>
        <w:t>(eau-rail-route)</w:t>
      </w:r>
      <w:r w:rsidRPr="00916379">
        <w:rPr>
          <w:rFonts w:cs="Arial"/>
          <w:sz w:val="22"/>
          <w:szCs w:val="22"/>
        </w:rPr>
        <w:t xml:space="preserve"> avant la crise du Covid-19 et 2021</w:t>
      </w:r>
    </w:p>
    <w:p w14:paraId="53639793" w14:textId="77777777" w:rsidR="00916379" w:rsidRPr="00916379" w:rsidRDefault="00916379" w:rsidP="00916379">
      <w:pPr>
        <w:spacing w:after="0" w:line="240" w:lineRule="auto"/>
        <w:jc w:val="both"/>
      </w:pPr>
    </w:p>
    <w:p w14:paraId="660F73BE" w14:textId="77777777" w:rsidR="00916379" w:rsidRDefault="00916379" w:rsidP="00916379">
      <w:pPr>
        <w:spacing w:after="0"/>
        <w:jc w:val="both"/>
        <w:rPr>
          <w:rFonts w:eastAsia="Times New Roman" w:cstheme="minorHAnsi"/>
          <w:kern w:val="36"/>
          <w:lang w:eastAsia="fr-BE"/>
        </w:rPr>
      </w:pPr>
      <w:r w:rsidRPr="009443A6">
        <w:rPr>
          <w:rFonts w:eastAsia="Times New Roman" w:cstheme="minorHAnsi"/>
          <w:kern w:val="36"/>
          <w:lang w:eastAsia="fr-BE"/>
        </w:rPr>
        <w:t>Le Port de Liège n’a pas retrouvé les niveaux d’avant la crise liée au coronavirus.</w:t>
      </w:r>
    </w:p>
    <w:p w14:paraId="79D8283F" w14:textId="77777777" w:rsidR="00916379" w:rsidRPr="004E6CC5" w:rsidRDefault="00916379" w:rsidP="00916379">
      <w:pPr>
        <w:spacing w:after="0" w:line="240" w:lineRule="auto"/>
        <w:jc w:val="both"/>
        <w:rPr>
          <w:b/>
          <w:bCs/>
        </w:rPr>
      </w:pPr>
    </w:p>
    <w:p w14:paraId="748CEC20" w14:textId="77777777" w:rsidR="00916379" w:rsidRDefault="00916379" w:rsidP="00916379">
      <w:pPr>
        <w:spacing w:after="0" w:line="240" w:lineRule="auto"/>
        <w:jc w:val="both"/>
        <w:rPr>
          <w:b/>
          <w:bCs/>
          <w:lang w:val="fr-FR"/>
        </w:rPr>
      </w:pPr>
    </w:p>
    <w:tbl>
      <w:tblPr>
        <w:tblW w:w="8041" w:type="dxa"/>
        <w:tblInd w:w="648" w:type="dxa"/>
        <w:tblBorders>
          <w:top w:val="single" w:sz="12" w:space="0" w:color="000000"/>
          <w:bottom w:val="single" w:sz="12" w:space="0" w:color="000000"/>
          <w:insideH w:val="single" w:sz="6" w:space="0" w:color="000000"/>
        </w:tblBorders>
        <w:tblLook w:val="0060" w:firstRow="1" w:lastRow="1" w:firstColumn="0" w:lastColumn="0" w:noHBand="0" w:noVBand="0"/>
      </w:tblPr>
      <w:tblGrid>
        <w:gridCol w:w="1815"/>
        <w:gridCol w:w="1980"/>
        <w:gridCol w:w="1546"/>
        <w:gridCol w:w="1546"/>
        <w:gridCol w:w="1154"/>
      </w:tblGrid>
      <w:tr w:rsidR="00916379" w:rsidRPr="002A7DB4" w14:paraId="3F548DF4" w14:textId="77777777" w:rsidTr="00A17715">
        <w:trPr>
          <w:trHeight w:val="300"/>
        </w:trPr>
        <w:tc>
          <w:tcPr>
            <w:tcW w:w="1815" w:type="dxa"/>
            <w:tcBorders>
              <w:bottom w:val="single" w:sz="12" w:space="0" w:color="000000"/>
            </w:tcBorders>
            <w:shd w:val="clear" w:color="auto" w:fill="auto"/>
            <w:noWrap/>
          </w:tcPr>
          <w:p w14:paraId="5D4B6F8D" w14:textId="77777777" w:rsidR="00916379" w:rsidRPr="002A7DB4" w:rsidRDefault="00916379" w:rsidP="00A17715">
            <w:pPr>
              <w:spacing w:after="0" w:line="240" w:lineRule="auto"/>
              <w:ind w:left="180"/>
              <w:rPr>
                <w:b/>
                <w:bCs/>
              </w:rPr>
            </w:pPr>
            <w:r w:rsidRPr="002A7DB4">
              <w:rPr>
                <w:b/>
                <w:bCs/>
              </w:rPr>
              <w:t>Mode</w:t>
            </w:r>
          </w:p>
        </w:tc>
        <w:tc>
          <w:tcPr>
            <w:tcW w:w="1980" w:type="dxa"/>
            <w:tcBorders>
              <w:bottom w:val="single" w:sz="12" w:space="0" w:color="000000"/>
            </w:tcBorders>
          </w:tcPr>
          <w:p w14:paraId="32034BAA" w14:textId="77777777" w:rsidR="00916379" w:rsidRPr="002A7DB4" w:rsidRDefault="00916379" w:rsidP="00A17715">
            <w:pPr>
              <w:spacing w:after="0" w:line="240" w:lineRule="auto"/>
              <w:jc w:val="center"/>
              <w:rPr>
                <w:b/>
                <w:bCs/>
              </w:rPr>
            </w:pPr>
            <w:r>
              <w:rPr>
                <w:b/>
                <w:bCs/>
              </w:rPr>
              <w:t>2019</w:t>
            </w:r>
          </w:p>
        </w:tc>
        <w:tc>
          <w:tcPr>
            <w:tcW w:w="1546" w:type="dxa"/>
            <w:tcBorders>
              <w:bottom w:val="single" w:sz="12" w:space="0" w:color="000000"/>
            </w:tcBorders>
          </w:tcPr>
          <w:p w14:paraId="437A919F" w14:textId="77777777" w:rsidR="00916379" w:rsidRPr="002A7DB4" w:rsidRDefault="00916379" w:rsidP="00A17715">
            <w:pPr>
              <w:spacing w:after="0" w:line="240" w:lineRule="auto"/>
              <w:jc w:val="center"/>
              <w:rPr>
                <w:b/>
                <w:bCs/>
              </w:rPr>
            </w:pPr>
            <w:r>
              <w:rPr>
                <w:b/>
                <w:bCs/>
              </w:rPr>
              <w:t>2021</w:t>
            </w:r>
          </w:p>
        </w:tc>
        <w:tc>
          <w:tcPr>
            <w:tcW w:w="1546" w:type="dxa"/>
            <w:tcBorders>
              <w:bottom w:val="single" w:sz="12" w:space="0" w:color="000000"/>
            </w:tcBorders>
            <w:shd w:val="clear" w:color="auto" w:fill="auto"/>
            <w:noWrap/>
          </w:tcPr>
          <w:p w14:paraId="50316AEF" w14:textId="77777777" w:rsidR="00916379" w:rsidRPr="002A7DB4" w:rsidRDefault="00916379" w:rsidP="00A17715">
            <w:pPr>
              <w:spacing w:after="0" w:line="240" w:lineRule="auto"/>
              <w:jc w:val="center"/>
              <w:rPr>
                <w:b/>
                <w:bCs/>
              </w:rPr>
            </w:pPr>
            <w:r w:rsidRPr="002A7DB4">
              <w:rPr>
                <w:b/>
                <w:bCs/>
              </w:rPr>
              <w:t>Variation</w:t>
            </w:r>
          </w:p>
        </w:tc>
        <w:tc>
          <w:tcPr>
            <w:tcW w:w="1154" w:type="dxa"/>
            <w:tcBorders>
              <w:bottom w:val="single" w:sz="12" w:space="0" w:color="000000"/>
            </w:tcBorders>
            <w:shd w:val="clear" w:color="auto" w:fill="auto"/>
            <w:noWrap/>
          </w:tcPr>
          <w:p w14:paraId="12E03B6D" w14:textId="77777777" w:rsidR="00916379" w:rsidRPr="002A7DB4" w:rsidRDefault="00916379" w:rsidP="00A17715">
            <w:pPr>
              <w:spacing w:after="0" w:line="240" w:lineRule="auto"/>
              <w:jc w:val="center"/>
              <w:rPr>
                <w:b/>
                <w:bCs/>
              </w:rPr>
            </w:pPr>
            <w:r w:rsidRPr="002A7DB4">
              <w:rPr>
                <w:b/>
                <w:bCs/>
              </w:rPr>
              <w:t>%</w:t>
            </w:r>
          </w:p>
        </w:tc>
      </w:tr>
      <w:tr w:rsidR="00916379" w:rsidRPr="002A7DB4" w14:paraId="662C5F33" w14:textId="77777777" w:rsidTr="00A17715">
        <w:trPr>
          <w:trHeight w:val="300"/>
        </w:trPr>
        <w:tc>
          <w:tcPr>
            <w:tcW w:w="1815" w:type="dxa"/>
            <w:shd w:val="clear" w:color="auto" w:fill="auto"/>
            <w:noWrap/>
          </w:tcPr>
          <w:p w14:paraId="29D69CD0" w14:textId="77777777" w:rsidR="00916379" w:rsidRPr="002A7DB4" w:rsidRDefault="00916379" w:rsidP="00A17715">
            <w:pPr>
              <w:spacing w:after="0" w:line="240" w:lineRule="auto"/>
              <w:jc w:val="both"/>
            </w:pPr>
            <w:r w:rsidRPr="002A7DB4">
              <w:t xml:space="preserve"> Voie d'eau</w:t>
            </w:r>
          </w:p>
        </w:tc>
        <w:tc>
          <w:tcPr>
            <w:tcW w:w="1980" w:type="dxa"/>
          </w:tcPr>
          <w:p w14:paraId="294AA2DE" w14:textId="77777777" w:rsidR="00916379" w:rsidRPr="002A7DB4" w:rsidRDefault="00916379" w:rsidP="00A17715">
            <w:pPr>
              <w:spacing w:after="0" w:line="240" w:lineRule="auto"/>
              <w:ind w:left="261"/>
              <w:jc w:val="both"/>
            </w:pPr>
            <w:r>
              <w:t>15.901.980</w:t>
            </w:r>
          </w:p>
        </w:tc>
        <w:tc>
          <w:tcPr>
            <w:tcW w:w="1546" w:type="dxa"/>
          </w:tcPr>
          <w:p w14:paraId="2F56E72E" w14:textId="77777777" w:rsidR="00916379" w:rsidRDefault="00916379" w:rsidP="00A17715">
            <w:pPr>
              <w:spacing w:after="0" w:line="240" w:lineRule="auto"/>
              <w:ind w:left="200"/>
              <w:jc w:val="both"/>
            </w:pPr>
            <w:r>
              <w:t>14.924.899</w:t>
            </w:r>
          </w:p>
        </w:tc>
        <w:tc>
          <w:tcPr>
            <w:tcW w:w="1546" w:type="dxa"/>
            <w:shd w:val="clear" w:color="auto" w:fill="auto"/>
            <w:noWrap/>
          </w:tcPr>
          <w:p w14:paraId="33EFA2F5" w14:textId="77777777" w:rsidR="00916379" w:rsidRPr="002A7DB4" w:rsidRDefault="00916379" w:rsidP="00A17715">
            <w:pPr>
              <w:spacing w:after="0" w:line="240" w:lineRule="auto"/>
              <w:ind w:left="200"/>
              <w:jc w:val="both"/>
            </w:pPr>
            <w:r>
              <w:t>-977.081</w:t>
            </w:r>
          </w:p>
        </w:tc>
        <w:tc>
          <w:tcPr>
            <w:tcW w:w="1154" w:type="dxa"/>
            <w:shd w:val="clear" w:color="auto" w:fill="auto"/>
            <w:noWrap/>
          </w:tcPr>
          <w:p w14:paraId="0B4B6347" w14:textId="77777777" w:rsidR="00916379" w:rsidRPr="002A7DB4" w:rsidRDefault="00916379" w:rsidP="00A17715">
            <w:pPr>
              <w:spacing w:after="0" w:line="240" w:lineRule="auto"/>
              <w:ind w:left="194"/>
              <w:jc w:val="both"/>
            </w:pPr>
            <w:r>
              <w:t>-6</w:t>
            </w:r>
          </w:p>
        </w:tc>
      </w:tr>
      <w:tr w:rsidR="00916379" w:rsidRPr="002A7DB4" w14:paraId="73E95FE3" w14:textId="77777777" w:rsidTr="00A17715">
        <w:trPr>
          <w:trHeight w:val="300"/>
        </w:trPr>
        <w:tc>
          <w:tcPr>
            <w:tcW w:w="1815" w:type="dxa"/>
            <w:shd w:val="clear" w:color="auto" w:fill="auto"/>
            <w:noWrap/>
          </w:tcPr>
          <w:p w14:paraId="4F4D2183" w14:textId="77777777" w:rsidR="00916379" w:rsidRPr="002A7DB4" w:rsidRDefault="00916379" w:rsidP="00A17715">
            <w:pPr>
              <w:spacing w:after="0" w:line="240" w:lineRule="auto"/>
              <w:jc w:val="both"/>
            </w:pPr>
            <w:r w:rsidRPr="002A7DB4">
              <w:t xml:space="preserve"> Route</w:t>
            </w:r>
          </w:p>
        </w:tc>
        <w:tc>
          <w:tcPr>
            <w:tcW w:w="1980" w:type="dxa"/>
          </w:tcPr>
          <w:p w14:paraId="5D0B6D57" w14:textId="77777777" w:rsidR="00916379" w:rsidRPr="002A7DB4" w:rsidRDefault="00916379" w:rsidP="00A17715">
            <w:pPr>
              <w:spacing w:after="0" w:line="240" w:lineRule="auto"/>
              <w:ind w:left="261"/>
              <w:jc w:val="both"/>
            </w:pPr>
            <w:r>
              <w:t>3.916.301</w:t>
            </w:r>
          </w:p>
        </w:tc>
        <w:tc>
          <w:tcPr>
            <w:tcW w:w="1546" w:type="dxa"/>
          </w:tcPr>
          <w:p w14:paraId="1A6E78C7" w14:textId="77777777" w:rsidR="00916379" w:rsidRDefault="00916379" w:rsidP="00A17715">
            <w:pPr>
              <w:spacing w:after="0" w:line="240" w:lineRule="auto"/>
              <w:ind w:left="200"/>
              <w:jc w:val="both"/>
            </w:pPr>
            <w:r>
              <w:t>3.861.071</w:t>
            </w:r>
          </w:p>
        </w:tc>
        <w:tc>
          <w:tcPr>
            <w:tcW w:w="1546" w:type="dxa"/>
            <w:shd w:val="clear" w:color="auto" w:fill="auto"/>
            <w:noWrap/>
          </w:tcPr>
          <w:p w14:paraId="1B1C196D" w14:textId="77777777" w:rsidR="00916379" w:rsidRPr="002A7DB4" w:rsidRDefault="00916379" w:rsidP="00A17715">
            <w:pPr>
              <w:spacing w:after="0" w:line="240" w:lineRule="auto"/>
              <w:ind w:left="200"/>
              <w:jc w:val="both"/>
            </w:pPr>
            <w:r>
              <w:t>-55.230</w:t>
            </w:r>
          </w:p>
        </w:tc>
        <w:tc>
          <w:tcPr>
            <w:tcW w:w="1154" w:type="dxa"/>
            <w:shd w:val="clear" w:color="auto" w:fill="auto"/>
            <w:noWrap/>
          </w:tcPr>
          <w:p w14:paraId="200827BE" w14:textId="77777777" w:rsidR="00916379" w:rsidRPr="002A7DB4" w:rsidRDefault="00916379" w:rsidP="00A17715">
            <w:pPr>
              <w:spacing w:after="0" w:line="240" w:lineRule="auto"/>
              <w:ind w:left="194"/>
              <w:jc w:val="both"/>
            </w:pPr>
            <w:r>
              <w:t>-1</w:t>
            </w:r>
          </w:p>
        </w:tc>
      </w:tr>
      <w:tr w:rsidR="00916379" w:rsidRPr="002A7DB4" w14:paraId="708D33A7" w14:textId="77777777" w:rsidTr="00A17715">
        <w:trPr>
          <w:trHeight w:val="300"/>
        </w:trPr>
        <w:tc>
          <w:tcPr>
            <w:tcW w:w="1815" w:type="dxa"/>
            <w:shd w:val="clear" w:color="auto" w:fill="auto"/>
            <w:noWrap/>
          </w:tcPr>
          <w:p w14:paraId="5B108CB0" w14:textId="77777777" w:rsidR="00916379" w:rsidRPr="002A7DB4" w:rsidRDefault="00916379" w:rsidP="00A17715">
            <w:pPr>
              <w:spacing w:after="0" w:line="240" w:lineRule="auto"/>
              <w:jc w:val="both"/>
            </w:pPr>
            <w:r w:rsidRPr="002A7DB4">
              <w:t xml:space="preserve"> Rail</w:t>
            </w:r>
          </w:p>
        </w:tc>
        <w:tc>
          <w:tcPr>
            <w:tcW w:w="1980" w:type="dxa"/>
          </w:tcPr>
          <w:p w14:paraId="24F21448" w14:textId="77777777" w:rsidR="00916379" w:rsidRPr="002A7DB4" w:rsidRDefault="00916379" w:rsidP="00A17715">
            <w:pPr>
              <w:spacing w:after="0" w:line="240" w:lineRule="auto"/>
              <w:ind w:left="261"/>
              <w:jc w:val="both"/>
            </w:pPr>
            <w:r>
              <w:t>1.351.292</w:t>
            </w:r>
          </w:p>
        </w:tc>
        <w:tc>
          <w:tcPr>
            <w:tcW w:w="1546" w:type="dxa"/>
          </w:tcPr>
          <w:p w14:paraId="7600C78C" w14:textId="77777777" w:rsidR="00916379" w:rsidRDefault="00916379" w:rsidP="00A17715">
            <w:pPr>
              <w:spacing w:after="0" w:line="240" w:lineRule="auto"/>
              <w:ind w:left="200"/>
              <w:jc w:val="both"/>
            </w:pPr>
            <w:r>
              <w:t>629.653</w:t>
            </w:r>
          </w:p>
        </w:tc>
        <w:tc>
          <w:tcPr>
            <w:tcW w:w="1546" w:type="dxa"/>
            <w:shd w:val="clear" w:color="auto" w:fill="auto"/>
            <w:noWrap/>
          </w:tcPr>
          <w:p w14:paraId="16F44B4F" w14:textId="77777777" w:rsidR="00916379" w:rsidRPr="002A7DB4" w:rsidRDefault="00916379" w:rsidP="00A17715">
            <w:pPr>
              <w:spacing w:after="0" w:line="240" w:lineRule="auto"/>
              <w:ind w:left="200"/>
              <w:jc w:val="both"/>
            </w:pPr>
            <w:r>
              <w:t>-721.639</w:t>
            </w:r>
          </w:p>
        </w:tc>
        <w:tc>
          <w:tcPr>
            <w:tcW w:w="1154" w:type="dxa"/>
            <w:shd w:val="clear" w:color="auto" w:fill="auto"/>
            <w:noWrap/>
          </w:tcPr>
          <w:p w14:paraId="34F9DC82" w14:textId="77777777" w:rsidR="00916379" w:rsidRPr="002A7DB4" w:rsidRDefault="00916379" w:rsidP="00A17715">
            <w:pPr>
              <w:spacing w:after="0" w:line="240" w:lineRule="auto"/>
              <w:ind w:left="194"/>
              <w:jc w:val="both"/>
            </w:pPr>
            <w:r>
              <w:t>-53</w:t>
            </w:r>
          </w:p>
        </w:tc>
      </w:tr>
      <w:tr w:rsidR="00916379" w:rsidRPr="002A7DB4" w14:paraId="42BC15D5" w14:textId="77777777" w:rsidTr="00A17715">
        <w:trPr>
          <w:trHeight w:val="300"/>
        </w:trPr>
        <w:tc>
          <w:tcPr>
            <w:tcW w:w="1815" w:type="dxa"/>
            <w:shd w:val="clear" w:color="auto" w:fill="auto"/>
            <w:noWrap/>
          </w:tcPr>
          <w:p w14:paraId="740371FE" w14:textId="77777777" w:rsidR="00916379" w:rsidRPr="002A7DB4" w:rsidRDefault="00916379" w:rsidP="00A17715">
            <w:pPr>
              <w:spacing w:after="0" w:line="240" w:lineRule="auto"/>
              <w:jc w:val="both"/>
            </w:pPr>
            <w:r>
              <w:t xml:space="preserve">Total </w:t>
            </w:r>
          </w:p>
        </w:tc>
        <w:tc>
          <w:tcPr>
            <w:tcW w:w="1980" w:type="dxa"/>
          </w:tcPr>
          <w:p w14:paraId="433925DE" w14:textId="77777777" w:rsidR="00916379" w:rsidRDefault="00916379" w:rsidP="00A17715">
            <w:pPr>
              <w:spacing w:after="0" w:line="240" w:lineRule="auto"/>
              <w:ind w:left="261"/>
              <w:jc w:val="both"/>
            </w:pPr>
            <w:r>
              <w:t>21.169.573</w:t>
            </w:r>
          </w:p>
        </w:tc>
        <w:tc>
          <w:tcPr>
            <w:tcW w:w="1546" w:type="dxa"/>
          </w:tcPr>
          <w:p w14:paraId="026E9496" w14:textId="77777777" w:rsidR="00916379" w:rsidRDefault="00916379" w:rsidP="00A17715">
            <w:pPr>
              <w:spacing w:after="0" w:line="240" w:lineRule="auto"/>
              <w:ind w:left="200"/>
              <w:jc w:val="both"/>
            </w:pPr>
            <w:r>
              <w:t>19.415.623</w:t>
            </w:r>
          </w:p>
        </w:tc>
        <w:tc>
          <w:tcPr>
            <w:tcW w:w="1546" w:type="dxa"/>
            <w:shd w:val="clear" w:color="auto" w:fill="auto"/>
            <w:noWrap/>
          </w:tcPr>
          <w:p w14:paraId="6746F749" w14:textId="77777777" w:rsidR="00916379" w:rsidRDefault="00916379" w:rsidP="00A17715">
            <w:pPr>
              <w:spacing w:after="0" w:line="240" w:lineRule="auto"/>
              <w:ind w:left="200"/>
              <w:jc w:val="both"/>
            </w:pPr>
            <w:r>
              <w:t xml:space="preserve">-1.753.950          </w:t>
            </w:r>
          </w:p>
        </w:tc>
        <w:tc>
          <w:tcPr>
            <w:tcW w:w="1154" w:type="dxa"/>
            <w:shd w:val="clear" w:color="auto" w:fill="auto"/>
            <w:noWrap/>
          </w:tcPr>
          <w:p w14:paraId="28899F96" w14:textId="77777777" w:rsidR="00916379" w:rsidRDefault="00916379" w:rsidP="00A17715">
            <w:pPr>
              <w:spacing w:after="0" w:line="240" w:lineRule="auto"/>
              <w:ind w:left="194"/>
              <w:jc w:val="both"/>
            </w:pPr>
            <w:r>
              <w:t>-8%</w:t>
            </w:r>
          </w:p>
        </w:tc>
      </w:tr>
    </w:tbl>
    <w:p w14:paraId="449E6C23" w14:textId="77777777" w:rsidR="00916379" w:rsidRPr="00C92E64" w:rsidRDefault="00916379" w:rsidP="00916379">
      <w:pPr>
        <w:spacing w:after="0" w:line="240" w:lineRule="auto"/>
        <w:jc w:val="both"/>
        <w:rPr>
          <w:b/>
        </w:rPr>
      </w:pPr>
    </w:p>
    <w:p w14:paraId="0CA759CD" w14:textId="77777777" w:rsidR="00916379" w:rsidRDefault="00916379" w:rsidP="00916379">
      <w:pPr>
        <w:spacing w:after="0"/>
        <w:jc w:val="both"/>
      </w:pPr>
      <w:r>
        <w:t>La perte substantielle des tonnages ferroviaires ne peut pas être imputée totalement à la pandémie.  Une des causes de cet important recul est due aux difficultés importantes rencontrées dernièrement par la phase à froid liégeoise.</w:t>
      </w:r>
    </w:p>
    <w:p w14:paraId="0B2CD435" w14:textId="77777777" w:rsidR="00916379" w:rsidRDefault="00916379" w:rsidP="00916379">
      <w:pPr>
        <w:spacing w:after="0"/>
        <w:jc w:val="both"/>
      </w:pPr>
    </w:p>
    <w:p w14:paraId="51D5BAB6" w14:textId="77777777" w:rsidR="00916379" w:rsidRDefault="00916379" w:rsidP="00916379">
      <w:pPr>
        <w:spacing w:after="0"/>
        <w:jc w:val="both"/>
      </w:pPr>
      <w:r>
        <w:t>Les tonnages routiers sont, quant à eux, revenus pratiquement au niveau pré-</w:t>
      </w:r>
      <w:proofErr w:type="spellStart"/>
      <w:r>
        <w:t>Covid</w:t>
      </w:r>
      <w:proofErr w:type="spellEnd"/>
      <w:r>
        <w:t>, ce qui n’est pas encore le cas pour les tonnages fluviaux qui accusent encore un petit million de tonnes (-6 %) de déficit par rapport à 2019.</w:t>
      </w:r>
    </w:p>
    <w:p w14:paraId="09BF54E5" w14:textId="77777777" w:rsidR="00916379" w:rsidRDefault="00916379" w:rsidP="00213A30">
      <w:pPr>
        <w:spacing w:after="0" w:line="240" w:lineRule="auto"/>
        <w:jc w:val="both"/>
      </w:pPr>
    </w:p>
    <w:p w14:paraId="5B7C243C" w14:textId="77777777" w:rsidR="00213A30" w:rsidRDefault="00213A30" w:rsidP="00213A30">
      <w:pPr>
        <w:spacing w:after="0" w:line="240" w:lineRule="auto"/>
        <w:jc w:val="both"/>
      </w:pPr>
    </w:p>
    <w:p w14:paraId="537094D4" w14:textId="365BEB95" w:rsidR="00464C93" w:rsidRPr="002D1856" w:rsidRDefault="00464C93" w:rsidP="00213A30">
      <w:pPr>
        <w:pStyle w:val="Chapitre"/>
        <w:spacing w:after="0" w:line="240" w:lineRule="auto"/>
        <w:rPr>
          <w:rFonts w:cs="Arial"/>
        </w:rPr>
      </w:pPr>
      <w:r>
        <w:rPr>
          <w:rFonts w:cs="Arial"/>
        </w:rPr>
        <w:t>4. Gestion des déchets générés par les inondations de juillet 2021</w:t>
      </w:r>
    </w:p>
    <w:p w14:paraId="69399282" w14:textId="77777777" w:rsidR="00A93013" w:rsidRPr="00224455" w:rsidRDefault="00A93013" w:rsidP="00213A30">
      <w:pPr>
        <w:pStyle w:val="Body"/>
        <w:spacing w:after="0"/>
        <w:rPr>
          <w:sz w:val="22"/>
          <w:szCs w:val="22"/>
        </w:rPr>
      </w:pPr>
    </w:p>
    <w:p w14:paraId="52737FEB" w14:textId="77777777" w:rsidR="00213A30" w:rsidRDefault="00A93013" w:rsidP="00213A30">
      <w:pPr>
        <w:pStyle w:val="Body"/>
        <w:spacing w:after="0"/>
        <w:rPr>
          <w:sz w:val="22"/>
          <w:szCs w:val="22"/>
        </w:rPr>
      </w:pPr>
      <w:r w:rsidRPr="00224455">
        <w:rPr>
          <w:sz w:val="22"/>
          <w:szCs w:val="22"/>
        </w:rPr>
        <w:t>Le</w:t>
      </w:r>
      <w:r w:rsidR="00C016ED" w:rsidRPr="00224455">
        <w:rPr>
          <w:sz w:val="22"/>
          <w:szCs w:val="22"/>
        </w:rPr>
        <w:t xml:space="preserve"> Port autonome de Liège</w:t>
      </w:r>
      <w:r w:rsidRPr="00224455">
        <w:rPr>
          <w:sz w:val="22"/>
          <w:szCs w:val="22"/>
        </w:rPr>
        <w:t xml:space="preserve"> </w:t>
      </w:r>
      <w:r w:rsidR="00C016ED" w:rsidRPr="00224455">
        <w:rPr>
          <w:sz w:val="22"/>
          <w:szCs w:val="22"/>
        </w:rPr>
        <w:t>a mis à disposition le Port des Ardennes (15.000 m²) ainsi qu’une partie du Port d’Hermalle-sous-Huy pour le dépôt des déchets</w:t>
      </w:r>
      <w:r w:rsidRPr="00224455">
        <w:rPr>
          <w:sz w:val="22"/>
          <w:szCs w:val="22"/>
        </w:rPr>
        <w:t xml:space="preserve"> générés par les inondations de juillet 2021</w:t>
      </w:r>
      <w:r w:rsidR="00C016ED" w:rsidRPr="00224455">
        <w:rPr>
          <w:sz w:val="22"/>
          <w:szCs w:val="22"/>
        </w:rPr>
        <w:t xml:space="preserve">. Quelques concessionnaires ont également proposé leurs services pour le stockage </w:t>
      </w:r>
      <w:r w:rsidR="00E25A0F" w:rsidRPr="00224455">
        <w:rPr>
          <w:sz w:val="22"/>
          <w:szCs w:val="22"/>
        </w:rPr>
        <w:t>et la gestion</w:t>
      </w:r>
      <w:r w:rsidRPr="00224455">
        <w:rPr>
          <w:sz w:val="22"/>
          <w:szCs w:val="22"/>
        </w:rPr>
        <w:t xml:space="preserve"> </w:t>
      </w:r>
      <w:r w:rsidR="00C016ED" w:rsidRPr="00224455">
        <w:rPr>
          <w:sz w:val="22"/>
          <w:szCs w:val="22"/>
        </w:rPr>
        <w:t xml:space="preserve">des déchets sur leurs </w:t>
      </w:r>
      <w:r w:rsidRPr="00224455">
        <w:rPr>
          <w:sz w:val="22"/>
          <w:szCs w:val="22"/>
        </w:rPr>
        <w:t xml:space="preserve">propres </w:t>
      </w:r>
      <w:r w:rsidR="00C016ED" w:rsidRPr="00224455">
        <w:rPr>
          <w:sz w:val="22"/>
          <w:szCs w:val="22"/>
        </w:rPr>
        <w:t>zones portuaires.</w:t>
      </w:r>
      <w:r w:rsidRPr="00224455">
        <w:rPr>
          <w:sz w:val="22"/>
          <w:szCs w:val="22"/>
        </w:rPr>
        <w:t xml:space="preserve">  </w:t>
      </w:r>
    </w:p>
    <w:p w14:paraId="629F34F9" w14:textId="77777777" w:rsidR="00213A30" w:rsidRDefault="00213A30" w:rsidP="00213A30">
      <w:pPr>
        <w:pStyle w:val="Body"/>
        <w:spacing w:after="0"/>
        <w:rPr>
          <w:sz w:val="22"/>
          <w:szCs w:val="22"/>
        </w:rPr>
      </w:pPr>
    </w:p>
    <w:p w14:paraId="3CCDA180" w14:textId="33FF424C" w:rsidR="00A93013" w:rsidRPr="00224455" w:rsidRDefault="00A93013" w:rsidP="00213A30">
      <w:pPr>
        <w:pStyle w:val="Body"/>
        <w:spacing w:after="0"/>
        <w:rPr>
          <w:sz w:val="22"/>
          <w:szCs w:val="22"/>
        </w:rPr>
      </w:pPr>
      <w:r w:rsidRPr="00224455">
        <w:rPr>
          <w:sz w:val="22"/>
          <w:szCs w:val="22"/>
        </w:rPr>
        <w:t xml:space="preserve">Les entreprises portuaires </w:t>
      </w:r>
      <w:r w:rsidR="00C016ED" w:rsidRPr="00224455">
        <w:rPr>
          <w:sz w:val="22"/>
          <w:szCs w:val="22"/>
        </w:rPr>
        <w:t xml:space="preserve">ont </w:t>
      </w:r>
      <w:r w:rsidR="00C83A55" w:rsidRPr="00224455">
        <w:rPr>
          <w:sz w:val="22"/>
          <w:szCs w:val="22"/>
        </w:rPr>
        <w:t xml:space="preserve">ainsi </w:t>
      </w:r>
      <w:r w:rsidR="00C016ED" w:rsidRPr="00224455">
        <w:rPr>
          <w:sz w:val="22"/>
          <w:szCs w:val="22"/>
        </w:rPr>
        <w:t>joué un rôle essentiel dans l’évacuation des déchets des inondations qui ont été provisoirement stockés à Wandre (35</w:t>
      </w:r>
      <w:r w:rsidR="00396D90" w:rsidRPr="00224455">
        <w:rPr>
          <w:sz w:val="22"/>
          <w:szCs w:val="22"/>
        </w:rPr>
        <w:t>.</w:t>
      </w:r>
      <w:r w:rsidR="00C016ED" w:rsidRPr="00224455">
        <w:rPr>
          <w:sz w:val="22"/>
          <w:szCs w:val="22"/>
        </w:rPr>
        <w:t>000 tonnes), sur la bretelle d’autoroute A601 (100</w:t>
      </w:r>
      <w:r w:rsidR="00396D90" w:rsidRPr="00224455">
        <w:rPr>
          <w:sz w:val="22"/>
          <w:szCs w:val="22"/>
        </w:rPr>
        <w:t>.</w:t>
      </w:r>
      <w:r w:rsidR="00C016ED" w:rsidRPr="00224455">
        <w:rPr>
          <w:sz w:val="22"/>
          <w:szCs w:val="22"/>
        </w:rPr>
        <w:t>000 tonnes) et au port d’</w:t>
      </w:r>
      <w:proofErr w:type="spellStart"/>
      <w:r w:rsidR="00C016ED" w:rsidRPr="00224455">
        <w:rPr>
          <w:sz w:val="22"/>
          <w:szCs w:val="22"/>
        </w:rPr>
        <w:t>Hermallle-sous-Huy</w:t>
      </w:r>
      <w:proofErr w:type="spellEnd"/>
      <w:r w:rsidR="00C016ED" w:rsidRPr="00224455">
        <w:rPr>
          <w:sz w:val="22"/>
          <w:szCs w:val="22"/>
        </w:rPr>
        <w:t xml:space="preserve"> (35</w:t>
      </w:r>
      <w:r w:rsidR="00396D90" w:rsidRPr="00224455">
        <w:rPr>
          <w:sz w:val="22"/>
          <w:szCs w:val="22"/>
        </w:rPr>
        <w:t>.</w:t>
      </w:r>
      <w:r w:rsidR="00C016ED" w:rsidRPr="00224455">
        <w:rPr>
          <w:sz w:val="22"/>
          <w:szCs w:val="22"/>
        </w:rPr>
        <w:t xml:space="preserve">000 tonnes).  </w:t>
      </w:r>
      <w:r w:rsidR="00A16AB0" w:rsidRPr="00224455">
        <w:rPr>
          <w:sz w:val="22"/>
          <w:szCs w:val="22"/>
        </w:rPr>
        <w:t xml:space="preserve">Ces déchets ont ainsi été </w:t>
      </w:r>
      <w:r w:rsidRPr="00224455">
        <w:rPr>
          <w:sz w:val="22"/>
          <w:szCs w:val="22"/>
        </w:rPr>
        <w:t>évacué</w:t>
      </w:r>
      <w:r w:rsidR="00A16AB0" w:rsidRPr="00224455">
        <w:rPr>
          <w:sz w:val="22"/>
          <w:szCs w:val="22"/>
        </w:rPr>
        <w:t xml:space="preserve">s </w:t>
      </w:r>
      <w:r w:rsidRPr="00224455">
        <w:rPr>
          <w:sz w:val="22"/>
          <w:szCs w:val="22"/>
        </w:rPr>
        <w:t xml:space="preserve">par voie fluviale </w:t>
      </w:r>
      <w:r w:rsidR="00A16AB0" w:rsidRPr="00224455">
        <w:rPr>
          <w:sz w:val="22"/>
          <w:szCs w:val="22"/>
        </w:rPr>
        <w:t xml:space="preserve">(70%) et par la route (30%) </w:t>
      </w:r>
      <w:r w:rsidRPr="00224455">
        <w:rPr>
          <w:sz w:val="22"/>
          <w:szCs w:val="22"/>
        </w:rPr>
        <w:t xml:space="preserve">vers les centres de tri agréés. </w:t>
      </w:r>
    </w:p>
    <w:p w14:paraId="715601FF" w14:textId="06DDD5AE" w:rsidR="00464C93" w:rsidRDefault="00464C93" w:rsidP="00213A30">
      <w:pPr>
        <w:spacing w:after="0" w:line="240" w:lineRule="auto"/>
        <w:jc w:val="both"/>
      </w:pPr>
    </w:p>
    <w:p w14:paraId="075B1F39" w14:textId="4DC98B39" w:rsidR="00A644D6" w:rsidRDefault="00A644D6" w:rsidP="00213A30">
      <w:pPr>
        <w:spacing w:after="0" w:line="240" w:lineRule="auto"/>
        <w:jc w:val="both"/>
      </w:pPr>
    </w:p>
    <w:p w14:paraId="47EEE86B" w14:textId="77777777" w:rsidR="00A644D6" w:rsidRDefault="00A644D6" w:rsidP="00213A30">
      <w:pPr>
        <w:spacing w:after="0" w:line="240" w:lineRule="auto"/>
        <w:jc w:val="both"/>
      </w:pPr>
    </w:p>
    <w:p w14:paraId="1B6E4762" w14:textId="77777777" w:rsidR="00213A30" w:rsidRDefault="00213A30" w:rsidP="00213A30">
      <w:pPr>
        <w:spacing w:after="0" w:line="240" w:lineRule="auto"/>
        <w:jc w:val="both"/>
      </w:pPr>
    </w:p>
    <w:p w14:paraId="3F384E83" w14:textId="37A754C4" w:rsidR="00464C93" w:rsidRPr="002D1856" w:rsidRDefault="00E84DF1" w:rsidP="00213A30">
      <w:pPr>
        <w:pStyle w:val="Chapitre"/>
        <w:spacing w:after="0" w:line="240" w:lineRule="auto"/>
        <w:rPr>
          <w:rFonts w:cs="Arial"/>
        </w:rPr>
      </w:pPr>
      <w:r>
        <w:rPr>
          <w:rFonts w:cs="Arial"/>
        </w:rPr>
        <w:lastRenderedPageBreak/>
        <w:t>5</w:t>
      </w:r>
      <w:r w:rsidR="00464C93">
        <w:rPr>
          <w:rFonts w:cs="Arial"/>
        </w:rPr>
        <w:t>.</w:t>
      </w:r>
      <w:r w:rsidR="0056119B">
        <w:rPr>
          <w:rFonts w:cs="Arial"/>
        </w:rPr>
        <w:t xml:space="preserve"> </w:t>
      </w:r>
      <w:r w:rsidR="00464C93">
        <w:rPr>
          <w:rFonts w:cs="Arial"/>
        </w:rPr>
        <w:t>Les résultats des ports voisins</w:t>
      </w:r>
    </w:p>
    <w:p w14:paraId="549BE36F" w14:textId="77777777" w:rsidR="009F2508" w:rsidRDefault="009F2508" w:rsidP="00213A30">
      <w:pPr>
        <w:spacing w:after="0" w:line="240" w:lineRule="auto"/>
        <w:jc w:val="both"/>
        <w:rPr>
          <w:rFonts w:cs="Calibri"/>
        </w:rPr>
      </w:pPr>
    </w:p>
    <w:p w14:paraId="39388C65" w14:textId="58AF8D9E" w:rsidR="009F2508" w:rsidRPr="00B71D50" w:rsidRDefault="009F2508" w:rsidP="00213A30">
      <w:pPr>
        <w:spacing w:after="0" w:line="240" w:lineRule="auto"/>
        <w:ind w:right="-142"/>
        <w:rPr>
          <w:rFonts w:cs="Calibri"/>
        </w:rPr>
      </w:pPr>
      <w:r w:rsidRPr="00B71D50">
        <w:rPr>
          <w:rFonts w:cs="Calibri"/>
        </w:rPr>
        <w:t>Anvers (</w:t>
      </w:r>
      <w:r>
        <w:rPr>
          <w:rFonts w:cs="Calibri"/>
        </w:rPr>
        <w:t>+4</w:t>
      </w:r>
      <w:r w:rsidRPr="00B71D50">
        <w:rPr>
          <w:rFonts w:cs="Calibri"/>
        </w:rPr>
        <w:t xml:space="preserve"> %)</w:t>
      </w:r>
      <w:r>
        <w:rPr>
          <w:rFonts w:cs="Calibri"/>
        </w:rPr>
        <w:t xml:space="preserve">, </w:t>
      </w:r>
      <w:proofErr w:type="spellStart"/>
      <w:r w:rsidRPr="00B71D50">
        <w:rPr>
          <w:rFonts w:cs="Calibri"/>
        </w:rPr>
        <w:t>Zeebruges</w:t>
      </w:r>
      <w:proofErr w:type="spellEnd"/>
      <w:r w:rsidRPr="00B71D50">
        <w:rPr>
          <w:rFonts w:cs="Calibri"/>
        </w:rPr>
        <w:t xml:space="preserve"> (+</w:t>
      </w:r>
      <w:r>
        <w:rPr>
          <w:rFonts w:cs="Calibri"/>
        </w:rPr>
        <w:t>5</w:t>
      </w:r>
      <w:r w:rsidRPr="00B71D50">
        <w:rPr>
          <w:rFonts w:cs="Calibri"/>
        </w:rPr>
        <w:t xml:space="preserve"> %</w:t>
      </w:r>
      <w:r>
        <w:rPr>
          <w:rFonts w:cs="Calibri"/>
        </w:rPr>
        <w:t xml:space="preserve">), Rotterdam (+6 % après 6 mois), </w:t>
      </w:r>
      <w:r w:rsidRPr="00B71D50">
        <w:rPr>
          <w:rFonts w:cs="Calibri"/>
        </w:rPr>
        <w:t xml:space="preserve">North </w:t>
      </w:r>
      <w:proofErr w:type="spellStart"/>
      <w:r w:rsidRPr="00B71D50">
        <w:rPr>
          <w:rFonts w:cs="Calibri"/>
        </w:rPr>
        <w:t>Sea</w:t>
      </w:r>
      <w:proofErr w:type="spellEnd"/>
      <w:r w:rsidRPr="00B71D50">
        <w:rPr>
          <w:rFonts w:cs="Calibri"/>
        </w:rPr>
        <w:t xml:space="preserve"> Port (</w:t>
      </w:r>
      <w:r>
        <w:rPr>
          <w:rFonts w:cs="Calibri"/>
        </w:rPr>
        <w:t>+9</w:t>
      </w:r>
      <w:r w:rsidRPr="00B71D50">
        <w:rPr>
          <w:rFonts w:cs="Calibri"/>
        </w:rPr>
        <w:t xml:space="preserve"> %),</w:t>
      </w:r>
      <w:r>
        <w:rPr>
          <w:rFonts w:cs="Calibri"/>
        </w:rPr>
        <w:t xml:space="preserve"> </w:t>
      </w:r>
      <w:r w:rsidRPr="00B71D50">
        <w:rPr>
          <w:rFonts w:cs="Calibri"/>
        </w:rPr>
        <w:t>Bruxelles</w:t>
      </w:r>
      <w:r w:rsidR="002D62AA">
        <w:rPr>
          <w:rFonts w:cs="Calibri"/>
        </w:rPr>
        <w:t xml:space="preserve"> </w:t>
      </w:r>
      <w:r w:rsidRPr="00B71D50">
        <w:rPr>
          <w:rFonts w:cs="Calibri"/>
        </w:rPr>
        <w:t>(</w:t>
      </w:r>
      <w:r>
        <w:rPr>
          <w:rFonts w:cs="Calibri"/>
        </w:rPr>
        <w:t>+10 %</w:t>
      </w:r>
      <w:r w:rsidRPr="00B71D50">
        <w:rPr>
          <w:rFonts w:cs="Calibri"/>
        </w:rPr>
        <w:t>)</w:t>
      </w:r>
      <w:r>
        <w:rPr>
          <w:rFonts w:cs="Calibri"/>
        </w:rPr>
        <w:t>.</w:t>
      </w:r>
    </w:p>
    <w:p w14:paraId="6F5ECB1D" w14:textId="70B52D07" w:rsidR="00464C93" w:rsidRDefault="00464C93" w:rsidP="00213A30">
      <w:pPr>
        <w:spacing w:after="0" w:line="240" w:lineRule="auto"/>
        <w:jc w:val="both"/>
      </w:pPr>
    </w:p>
    <w:p w14:paraId="718D48BF" w14:textId="77777777" w:rsidR="00213A30" w:rsidRDefault="00213A30" w:rsidP="00213A30">
      <w:pPr>
        <w:spacing w:after="0" w:line="240" w:lineRule="auto"/>
        <w:jc w:val="both"/>
      </w:pPr>
    </w:p>
    <w:p w14:paraId="22A3163E" w14:textId="296BB9D2" w:rsidR="00464C93" w:rsidRPr="002D1856" w:rsidRDefault="00E84DF1" w:rsidP="00213A30">
      <w:pPr>
        <w:pStyle w:val="Chapitre"/>
        <w:spacing w:after="0" w:line="240" w:lineRule="auto"/>
        <w:rPr>
          <w:rFonts w:cs="Arial"/>
        </w:rPr>
      </w:pPr>
      <w:r>
        <w:rPr>
          <w:rFonts w:cs="Arial"/>
        </w:rPr>
        <w:t>6</w:t>
      </w:r>
      <w:r w:rsidR="00464C93">
        <w:rPr>
          <w:rFonts w:cs="Arial"/>
        </w:rPr>
        <w:t>.</w:t>
      </w:r>
      <w:r w:rsidR="0056119B">
        <w:rPr>
          <w:rFonts w:cs="Arial"/>
        </w:rPr>
        <w:t xml:space="preserve"> </w:t>
      </w:r>
      <w:r w:rsidR="00464C93">
        <w:rPr>
          <w:rFonts w:cs="Arial"/>
        </w:rPr>
        <w:t>Nouveaux développements</w:t>
      </w:r>
    </w:p>
    <w:p w14:paraId="1C7813FA" w14:textId="4CDD45F1" w:rsidR="004C7BD0" w:rsidRPr="00464C93" w:rsidRDefault="004C7BD0" w:rsidP="00213A30">
      <w:pPr>
        <w:spacing w:after="0" w:line="240" w:lineRule="auto"/>
        <w:jc w:val="both"/>
      </w:pPr>
    </w:p>
    <w:p w14:paraId="1F180574" w14:textId="57F410A1" w:rsidR="00587830" w:rsidRDefault="00E84DF1" w:rsidP="00213A30">
      <w:pPr>
        <w:spacing w:after="0" w:line="240" w:lineRule="auto"/>
        <w:jc w:val="both"/>
        <w:rPr>
          <w:rFonts w:eastAsia="Times New Roman" w:cs="Times New Roman"/>
          <w:b/>
          <w:bCs/>
          <w:iCs/>
          <w:lang w:eastAsia="fr-BE"/>
        </w:rPr>
      </w:pPr>
      <w:r>
        <w:rPr>
          <w:rFonts w:eastAsia="Times New Roman" w:cs="Times New Roman"/>
          <w:b/>
          <w:bCs/>
          <w:iCs/>
          <w:lang w:eastAsia="fr-BE"/>
        </w:rPr>
        <w:t>6.</w:t>
      </w:r>
      <w:r w:rsidR="00873503">
        <w:rPr>
          <w:rFonts w:eastAsia="Times New Roman" w:cs="Times New Roman"/>
          <w:b/>
          <w:bCs/>
          <w:iCs/>
          <w:lang w:eastAsia="fr-BE"/>
        </w:rPr>
        <w:t xml:space="preserve">1 </w:t>
      </w:r>
      <w:r w:rsidR="00213A30">
        <w:rPr>
          <w:rFonts w:eastAsia="Times New Roman" w:cs="Times New Roman"/>
          <w:b/>
          <w:bCs/>
          <w:iCs/>
          <w:lang w:eastAsia="fr-BE"/>
        </w:rPr>
        <w:t xml:space="preserve">  </w:t>
      </w:r>
      <w:r w:rsidR="00587830" w:rsidRPr="00587830">
        <w:rPr>
          <w:rFonts w:eastAsia="Times New Roman" w:cs="Times New Roman"/>
          <w:b/>
          <w:bCs/>
          <w:iCs/>
          <w:lang w:eastAsia="fr-BE"/>
        </w:rPr>
        <w:t xml:space="preserve">A Liège </w:t>
      </w:r>
      <w:proofErr w:type="spellStart"/>
      <w:r w:rsidR="00587830" w:rsidRPr="00587830">
        <w:rPr>
          <w:rFonts w:eastAsia="Times New Roman" w:cs="Times New Roman"/>
          <w:b/>
          <w:bCs/>
          <w:iCs/>
          <w:lang w:eastAsia="fr-BE"/>
        </w:rPr>
        <w:t>Trilogiport</w:t>
      </w:r>
      <w:proofErr w:type="spellEnd"/>
      <w:r w:rsidR="00DA0B9C">
        <w:rPr>
          <w:rFonts w:eastAsia="Times New Roman" w:cs="Times New Roman"/>
          <w:b/>
          <w:bCs/>
          <w:iCs/>
          <w:lang w:eastAsia="fr-BE"/>
        </w:rPr>
        <w:t> : plus de 182.600 m² de halls logistiques opérationnels, soit 2/3 de la plate-forme</w:t>
      </w:r>
    </w:p>
    <w:p w14:paraId="492EE4D0" w14:textId="77777777" w:rsidR="00213A30" w:rsidRPr="00587830" w:rsidRDefault="00213A30" w:rsidP="00213A30">
      <w:pPr>
        <w:spacing w:after="0" w:line="240" w:lineRule="auto"/>
        <w:jc w:val="both"/>
        <w:rPr>
          <w:rFonts w:eastAsia="Times New Roman" w:cs="Times New Roman"/>
          <w:b/>
          <w:bCs/>
          <w:iCs/>
          <w:lang w:eastAsia="fr-BE"/>
        </w:rPr>
      </w:pPr>
    </w:p>
    <w:p w14:paraId="7795E4D1" w14:textId="270CEC83" w:rsidR="00587830" w:rsidRDefault="00587830" w:rsidP="00213A30">
      <w:pPr>
        <w:spacing w:after="0" w:line="240" w:lineRule="auto"/>
        <w:jc w:val="both"/>
        <w:rPr>
          <w:rFonts w:eastAsia="Times New Roman" w:cs="Times New Roman"/>
          <w:lang w:val="fr-FR" w:eastAsia="fr-BE"/>
        </w:rPr>
      </w:pPr>
      <w:r w:rsidRPr="00587830">
        <w:rPr>
          <w:rFonts w:eastAsia="Times New Roman" w:cs="Times New Roman"/>
          <w:lang w:val="fr-FR" w:eastAsia="fr-BE"/>
        </w:rPr>
        <w:t xml:space="preserve">A ce jour, la plate-forme Liège </w:t>
      </w:r>
      <w:proofErr w:type="spellStart"/>
      <w:r w:rsidRPr="00587830">
        <w:rPr>
          <w:rFonts w:eastAsia="Times New Roman" w:cs="Times New Roman"/>
          <w:lang w:val="fr-FR" w:eastAsia="fr-BE"/>
        </w:rPr>
        <w:t>Trilogiport</w:t>
      </w:r>
      <w:proofErr w:type="spellEnd"/>
      <w:r w:rsidRPr="00587830">
        <w:rPr>
          <w:rFonts w:eastAsia="Times New Roman" w:cs="Times New Roman"/>
          <w:lang w:val="fr-FR" w:eastAsia="fr-BE"/>
        </w:rPr>
        <w:t xml:space="preserve"> </w:t>
      </w:r>
      <w:r w:rsidR="004E6554">
        <w:rPr>
          <w:rFonts w:eastAsia="Times New Roman" w:cs="Times New Roman"/>
          <w:lang w:val="fr-FR" w:eastAsia="fr-BE"/>
        </w:rPr>
        <w:t>poursuit</w:t>
      </w:r>
      <w:r w:rsidR="00873503">
        <w:rPr>
          <w:rFonts w:eastAsia="Times New Roman" w:cs="Times New Roman"/>
          <w:lang w:val="fr-FR" w:eastAsia="fr-BE"/>
        </w:rPr>
        <w:t xml:space="preserve"> son </w:t>
      </w:r>
      <w:r w:rsidR="007A5336">
        <w:rPr>
          <w:rFonts w:eastAsia="Times New Roman" w:cs="Times New Roman"/>
          <w:lang w:val="fr-FR" w:eastAsia="fr-BE"/>
        </w:rPr>
        <w:t xml:space="preserve">développement </w:t>
      </w:r>
      <w:r w:rsidR="007A5336" w:rsidRPr="00587830">
        <w:rPr>
          <w:rFonts w:eastAsia="Times New Roman" w:cs="Times New Roman"/>
          <w:lang w:val="fr-FR" w:eastAsia="fr-BE"/>
        </w:rPr>
        <w:t>et</w:t>
      </w:r>
      <w:r w:rsidR="007F0BF6">
        <w:rPr>
          <w:rFonts w:eastAsia="Times New Roman" w:cs="Times New Roman"/>
          <w:lang w:val="fr-FR" w:eastAsia="fr-BE"/>
        </w:rPr>
        <w:t xml:space="preserve"> bénéficie à ce jour : </w:t>
      </w:r>
    </w:p>
    <w:p w14:paraId="35DA151D" w14:textId="77777777" w:rsidR="00213A30" w:rsidRDefault="00213A30" w:rsidP="00213A30">
      <w:pPr>
        <w:spacing w:after="0" w:line="240" w:lineRule="auto"/>
        <w:jc w:val="both"/>
        <w:rPr>
          <w:rFonts w:eastAsia="Times New Roman" w:cs="Times New Roman"/>
          <w:lang w:val="fr-FR" w:eastAsia="fr-BE"/>
        </w:rPr>
      </w:pPr>
    </w:p>
    <w:p w14:paraId="4887F656" w14:textId="0B8EAA85" w:rsidR="007F0BF6" w:rsidRPr="00213A30" w:rsidRDefault="007F0BF6" w:rsidP="00213A30">
      <w:pPr>
        <w:pStyle w:val="Paragraphedeliste"/>
        <w:numPr>
          <w:ilvl w:val="0"/>
          <w:numId w:val="3"/>
        </w:numPr>
        <w:spacing w:after="0" w:line="240" w:lineRule="auto"/>
        <w:ind w:left="426" w:hanging="426"/>
        <w:jc w:val="both"/>
        <w:rPr>
          <w:rFonts w:eastAsia="Times New Roman"/>
          <w:b/>
          <w:bCs/>
          <w:lang w:val="fr-FR" w:eastAsia="fr-BE"/>
        </w:rPr>
      </w:pPr>
      <w:r>
        <w:rPr>
          <w:rFonts w:eastAsia="Times New Roman"/>
          <w:lang w:val="fr-FR" w:eastAsia="fr-BE"/>
        </w:rPr>
        <w:t xml:space="preserve">Du terminal à conteneur </w:t>
      </w:r>
      <w:r w:rsidR="00587830" w:rsidRPr="00587830">
        <w:rPr>
          <w:rFonts w:eastAsia="Times New Roman"/>
          <w:lang w:val="fr-FR" w:eastAsia="fr-BE"/>
        </w:rPr>
        <w:t>d’une superficie de 4,5 ha</w:t>
      </w:r>
      <w:r w:rsidR="00873503">
        <w:rPr>
          <w:rFonts w:eastAsia="Times New Roman"/>
          <w:lang w:val="fr-FR" w:eastAsia="fr-BE"/>
        </w:rPr>
        <w:t xml:space="preserve">, qui </w:t>
      </w:r>
      <w:r w:rsidR="00DF6D0B">
        <w:rPr>
          <w:rFonts w:eastAsia="Times New Roman"/>
          <w:lang w:val="fr-FR" w:eastAsia="fr-BE"/>
        </w:rPr>
        <w:t xml:space="preserve">doublera </w:t>
      </w:r>
      <w:r w:rsidR="00873503">
        <w:rPr>
          <w:rFonts w:eastAsia="Times New Roman"/>
          <w:lang w:val="fr-FR" w:eastAsia="fr-BE"/>
        </w:rPr>
        <w:t>sa superficie en 2022</w:t>
      </w:r>
      <w:r>
        <w:rPr>
          <w:rFonts w:eastAsia="Times New Roman"/>
          <w:lang w:val="fr-FR" w:eastAsia="fr-BE"/>
        </w:rPr>
        <w:t xml:space="preserve">, géré par DPW </w:t>
      </w:r>
      <w:proofErr w:type="spellStart"/>
      <w:r>
        <w:rPr>
          <w:rFonts w:eastAsia="Times New Roman"/>
          <w:lang w:val="fr-FR" w:eastAsia="fr-BE"/>
        </w:rPr>
        <w:t>Liege</w:t>
      </w:r>
      <w:proofErr w:type="spellEnd"/>
      <w:r>
        <w:rPr>
          <w:rFonts w:eastAsia="Times New Roman"/>
          <w:lang w:val="fr-FR" w:eastAsia="fr-BE"/>
        </w:rPr>
        <w:t xml:space="preserve"> Container </w:t>
      </w:r>
      <w:proofErr w:type="spellStart"/>
      <w:r>
        <w:rPr>
          <w:rFonts w:eastAsia="Times New Roman"/>
          <w:lang w:val="fr-FR" w:eastAsia="fr-BE"/>
        </w:rPr>
        <w:t>Terminals</w:t>
      </w:r>
      <w:proofErr w:type="spellEnd"/>
      <w:r>
        <w:rPr>
          <w:rFonts w:eastAsia="Times New Roman"/>
          <w:lang w:val="fr-FR" w:eastAsia="fr-BE"/>
        </w:rPr>
        <w:t xml:space="preserve"> </w:t>
      </w:r>
    </w:p>
    <w:p w14:paraId="7B3066B6" w14:textId="77777777" w:rsidR="00213A30" w:rsidRPr="007F0BF6" w:rsidRDefault="00213A30" w:rsidP="00213A30">
      <w:pPr>
        <w:pStyle w:val="Paragraphedeliste"/>
        <w:spacing w:after="0" w:line="240" w:lineRule="auto"/>
        <w:ind w:left="426"/>
        <w:jc w:val="both"/>
        <w:rPr>
          <w:rFonts w:eastAsia="Times New Roman"/>
          <w:b/>
          <w:bCs/>
          <w:lang w:val="fr-FR" w:eastAsia="fr-BE"/>
        </w:rPr>
      </w:pPr>
    </w:p>
    <w:p w14:paraId="33731E91" w14:textId="2FA6DD45" w:rsidR="007F0BF6" w:rsidRDefault="007F0BF6" w:rsidP="00213A30">
      <w:pPr>
        <w:pStyle w:val="Paragraphedeliste"/>
        <w:numPr>
          <w:ilvl w:val="0"/>
          <w:numId w:val="3"/>
        </w:numPr>
        <w:spacing w:after="0" w:line="240" w:lineRule="auto"/>
        <w:ind w:left="426" w:hanging="426"/>
        <w:jc w:val="both"/>
        <w:rPr>
          <w:rFonts w:eastAsia="Times New Roman"/>
          <w:lang w:val="fr-FR" w:eastAsia="fr-BE"/>
        </w:rPr>
      </w:pPr>
      <w:r>
        <w:rPr>
          <w:rFonts w:eastAsia="Times New Roman"/>
          <w:lang w:val="fr-FR" w:eastAsia="fr-BE"/>
        </w:rPr>
        <w:t xml:space="preserve">De plus de 182.600 m² de halls construits et </w:t>
      </w:r>
      <w:r w:rsidRPr="007F0BF6">
        <w:rPr>
          <w:rFonts w:eastAsia="Times New Roman"/>
          <w:u w:val="single"/>
          <w:lang w:val="fr-FR" w:eastAsia="fr-BE"/>
        </w:rPr>
        <w:t>opérationnels</w:t>
      </w:r>
      <w:r>
        <w:rPr>
          <w:rFonts w:eastAsia="Times New Roman"/>
          <w:lang w:val="fr-FR" w:eastAsia="fr-BE"/>
        </w:rPr>
        <w:t xml:space="preserve"> (gérés par WDP, DL </w:t>
      </w:r>
      <w:proofErr w:type="spellStart"/>
      <w:r>
        <w:rPr>
          <w:rFonts w:eastAsia="Times New Roman"/>
          <w:lang w:val="fr-FR" w:eastAsia="fr-BE"/>
        </w:rPr>
        <w:t>Trilogiport</w:t>
      </w:r>
      <w:proofErr w:type="spellEnd"/>
      <w:r>
        <w:rPr>
          <w:rFonts w:eastAsia="Times New Roman"/>
          <w:lang w:val="fr-FR" w:eastAsia="fr-BE"/>
        </w:rPr>
        <w:t xml:space="preserve">/Jost Group et </w:t>
      </w:r>
      <w:proofErr w:type="spellStart"/>
      <w:r>
        <w:rPr>
          <w:rFonts w:eastAsia="Times New Roman"/>
          <w:lang w:val="fr-FR" w:eastAsia="fr-BE"/>
        </w:rPr>
        <w:t>Weerts</w:t>
      </w:r>
      <w:proofErr w:type="spellEnd"/>
      <w:r>
        <w:rPr>
          <w:rFonts w:eastAsia="Times New Roman"/>
          <w:lang w:val="fr-FR" w:eastAsia="fr-BE"/>
        </w:rPr>
        <w:t xml:space="preserve"> </w:t>
      </w:r>
      <w:proofErr w:type="spellStart"/>
      <w:r>
        <w:rPr>
          <w:rFonts w:eastAsia="Times New Roman"/>
          <w:lang w:val="fr-FR" w:eastAsia="fr-BE"/>
        </w:rPr>
        <w:t>Supply</w:t>
      </w:r>
      <w:proofErr w:type="spellEnd"/>
      <w:r>
        <w:rPr>
          <w:rFonts w:eastAsia="Times New Roman"/>
          <w:lang w:val="fr-FR" w:eastAsia="fr-BE"/>
        </w:rPr>
        <w:t xml:space="preserve"> Chain). </w:t>
      </w:r>
    </w:p>
    <w:p w14:paraId="1C797B2C" w14:textId="10C02CB8" w:rsidR="004C7BD0" w:rsidRDefault="004C7BD0" w:rsidP="00213A30">
      <w:pPr>
        <w:spacing w:after="0" w:line="240" w:lineRule="auto"/>
        <w:contextualSpacing/>
        <w:jc w:val="both"/>
        <w:rPr>
          <w:rFonts w:eastAsia="Times New Roman" w:cs="Times New Roman"/>
          <w:lang w:eastAsia="fr-BE"/>
        </w:rPr>
      </w:pPr>
    </w:p>
    <w:p w14:paraId="378056C7" w14:textId="518DD227" w:rsidR="00213A30" w:rsidRDefault="00213A30" w:rsidP="00213A30">
      <w:pPr>
        <w:spacing w:after="0" w:line="240" w:lineRule="auto"/>
        <w:contextualSpacing/>
        <w:jc w:val="both"/>
        <w:rPr>
          <w:rFonts w:eastAsia="Times New Roman" w:cs="Times New Roman"/>
          <w:lang w:eastAsia="fr-BE"/>
        </w:rPr>
      </w:pPr>
    </w:p>
    <w:p w14:paraId="48C41568" w14:textId="25761E8F" w:rsidR="00213A30" w:rsidRDefault="00213A30" w:rsidP="00213A30">
      <w:pPr>
        <w:spacing w:after="0" w:line="240" w:lineRule="auto"/>
        <w:contextualSpacing/>
        <w:jc w:val="both"/>
        <w:rPr>
          <w:rFonts w:eastAsia="Times New Roman" w:cs="Times New Roman"/>
          <w:lang w:eastAsia="fr-BE"/>
        </w:rPr>
      </w:pPr>
    </w:p>
    <w:p w14:paraId="2BA43F26" w14:textId="77777777" w:rsidR="00213A30" w:rsidRDefault="00213A30" w:rsidP="00213A30">
      <w:pPr>
        <w:spacing w:after="0" w:line="240" w:lineRule="auto"/>
        <w:contextualSpacing/>
        <w:jc w:val="both"/>
        <w:rPr>
          <w:rFonts w:eastAsia="Times New Roman" w:cs="Times New Roman"/>
          <w:lang w:eastAsia="fr-BE"/>
        </w:rPr>
      </w:pPr>
    </w:p>
    <w:p w14:paraId="306419D1" w14:textId="59700E5E" w:rsidR="004061A5" w:rsidRDefault="004061A5" w:rsidP="00213A30">
      <w:pPr>
        <w:spacing w:after="0" w:line="240" w:lineRule="auto"/>
        <w:contextualSpacing/>
        <w:jc w:val="both"/>
        <w:rPr>
          <w:rFonts w:eastAsia="Times New Roman" w:cs="Times New Roman"/>
          <w:lang w:eastAsia="fr-BE"/>
        </w:rPr>
      </w:pPr>
      <w:r w:rsidRPr="004061A5">
        <w:rPr>
          <w:rFonts w:eastAsia="Times New Roman" w:cs="Times New Roman"/>
          <w:lang w:eastAsia="fr-BE"/>
        </w:rPr>
        <w:t>En 2021, on note le</w:t>
      </w:r>
      <w:r>
        <w:rPr>
          <w:rFonts w:eastAsia="Times New Roman" w:cs="Times New Roman"/>
          <w:lang w:eastAsia="fr-BE"/>
        </w:rPr>
        <w:t xml:space="preserve">s développements suivants : </w:t>
      </w:r>
    </w:p>
    <w:p w14:paraId="3AE40563" w14:textId="77777777" w:rsidR="00213A30" w:rsidRPr="004061A5" w:rsidRDefault="00213A30" w:rsidP="00213A30">
      <w:pPr>
        <w:spacing w:after="0" w:line="240" w:lineRule="auto"/>
        <w:contextualSpacing/>
        <w:jc w:val="both"/>
        <w:rPr>
          <w:rFonts w:eastAsia="Times New Roman" w:cs="Times New Roman"/>
          <w:lang w:eastAsia="fr-BE"/>
        </w:rPr>
      </w:pPr>
    </w:p>
    <w:p w14:paraId="13E89097" w14:textId="77777777" w:rsidR="009F2508" w:rsidRPr="009D181E" w:rsidRDefault="009F2508" w:rsidP="00213A30">
      <w:pPr>
        <w:spacing w:after="0" w:line="240" w:lineRule="auto"/>
        <w:jc w:val="both"/>
        <w:rPr>
          <w:b/>
          <w:bCs/>
          <w:i/>
          <w:lang w:val="en-US"/>
        </w:rPr>
      </w:pPr>
      <w:r w:rsidRPr="009D181E">
        <w:rPr>
          <w:b/>
          <w:bCs/>
          <w:i/>
          <w:lang w:val="en-US"/>
        </w:rPr>
        <w:t xml:space="preserve">D.L. </w:t>
      </w:r>
      <w:proofErr w:type="spellStart"/>
      <w:r w:rsidRPr="009D181E">
        <w:rPr>
          <w:b/>
          <w:bCs/>
          <w:i/>
          <w:lang w:val="en-US"/>
        </w:rPr>
        <w:t>Trilogiport</w:t>
      </w:r>
      <w:proofErr w:type="spellEnd"/>
      <w:r w:rsidRPr="009D181E">
        <w:rPr>
          <w:b/>
          <w:bCs/>
          <w:i/>
          <w:lang w:val="en-US"/>
        </w:rPr>
        <w:t xml:space="preserve"> Belgium </w:t>
      </w:r>
      <w:r w:rsidRPr="009D181E">
        <w:rPr>
          <w:iCs/>
          <w:lang w:val="en-US"/>
        </w:rPr>
        <w:t>(</w:t>
      </w:r>
      <w:proofErr w:type="spellStart"/>
      <w:r w:rsidRPr="009D181E">
        <w:rPr>
          <w:iCs/>
          <w:lang w:val="en-US"/>
        </w:rPr>
        <w:t>Jost</w:t>
      </w:r>
      <w:proofErr w:type="spellEnd"/>
      <w:r w:rsidRPr="009D181E">
        <w:rPr>
          <w:iCs/>
          <w:lang w:val="en-US"/>
        </w:rPr>
        <w:t xml:space="preserve"> Group)</w:t>
      </w:r>
    </w:p>
    <w:p w14:paraId="15D9E287" w14:textId="571756D1" w:rsidR="009F2508" w:rsidRDefault="00650B0E" w:rsidP="00213A30">
      <w:pPr>
        <w:spacing w:after="0" w:line="240" w:lineRule="auto"/>
        <w:jc w:val="both"/>
        <w:rPr>
          <w:iCs/>
        </w:rPr>
      </w:pPr>
      <w:r>
        <w:rPr>
          <w:iCs/>
        </w:rPr>
        <w:t xml:space="preserve">D.L. </w:t>
      </w:r>
      <w:proofErr w:type="spellStart"/>
      <w:r>
        <w:rPr>
          <w:iCs/>
        </w:rPr>
        <w:t>Trilogiport</w:t>
      </w:r>
      <w:proofErr w:type="spellEnd"/>
      <w:r>
        <w:rPr>
          <w:iCs/>
        </w:rPr>
        <w:t xml:space="preserve"> / </w:t>
      </w:r>
      <w:r w:rsidR="009F2508" w:rsidRPr="00E07AC8">
        <w:rPr>
          <w:iCs/>
        </w:rPr>
        <w:t xml:space="preserve">Jost Group a mis en </w:t>
      </w:r>
      <w:r w:rsidR="009F2508">
        <w:rPr>
          <w:iCs/>
        </w:rPr>
        <w:t>service un second entrepôt</w:t>
      </w:r>
      <w:r w:rsidR="00D342F7">
        <w:rPr>
          <w:iCs/>
        </w:rPr>
        <w:t xml:space="preserve"> logistique</w:t>
      </w:r>
      <w:r w:rsidR="009F2508">
        <w:rPr>
          <w:iCs/>
        </w:rPr>
        <w:t xml:space="preserve"> en 2021.</w:t>
      </w:r>
      <w:r w:rsidR="00774B54">
        <w:rPr>
          <w:iCs/>
        </w:rPr>
        <w:t xml:space="preserve"> </w:t>
      </w:r>
      <w:r w:rsidR="009F2508">
        <w:rPr>
          <w:iCs/>
        </w:rPr>
        <w:t>La première phase de 30.000 m² est</w:t>
      </w:r>
      <w:r>
        <w:rPr>
          <w:iCs/>
        </w:rPr>
        <w:t xml:space="preserve"> </w:t>
      </w:r>
      <w:r w:rsidR="009F2508">
        <w:rPr>
          <w:iCs/>
        </w:rPr>
        <w:t>opérationnelle depuis octobre 2021.  La construction de la seconde phase de 30.000 m² sera finalisée au printemps 2022.</w:t>
      </w:r>
    </w:p>
    <w:p w14:paraId="356A6ABD" w14:textId="77777777" w:rsidR="00213A30" w:rsidRPr="00213A30" w:rsidRDefault="00213A30" w:rsidP="00213A30">
      <w:pPr>
        <w:spacing w:after="0" w:line="240" w:lineRule="auto"/>
        <w:jc w:val="both"/>
        <w:rPr>
          <w:iCs/>
          <w:u w:val="single"/>
        </w:rPr>
      </w:pPr>
    </w:p>
    <w:p w14:paraId="5B1C607F" w14:textId="121D3B33" w:rsidR="00774B54" w:rsidRPr="00B13BDC" w:rsidRDefault="00774B54" w:rsidP="00213A30">
      <w:pPr>
        <w:spacing w:after="0" w:line="240" w:lineRule="auto"/>
        <w:jc w:val="both"/>
        <w:rPr>
          <w:b/>
          <w:bCs/>
          <w:i/>
        </w:rPr>
      </w:pPr>
      <w:proofErr w:type="spellStart"/>
      <w:r w:rsidRPr="00B13BDC">
        <w:rPr>
          <w:b/>
          <w:bCs/>
          <w:i/>
        </w:rPr>
        <w:t>Weerts</w:t>
      </w:r>
      <w:proofErr w:type="spellEnd"/>
      <w:r w:rsidRPr="00B13BDC">
        <w:rPr>
          <w:b/>
          <w:bCs/>
          <w:i/>
        </w:rPr>
        <w:t xml:space="preserve"> </w:t>
      </w:r>
      <w:proofErr w:type="spellStart"/>
      <w:r w:rsidRPr="00B13BDC">
        <w:rPr>
          <w:b/>
          <w:bCs/>
          <w:i/>
        </w:rPr>
        <w:t>Supply</w:t>
      </w:r>
      <w:proofErr w:type="spellEnd"/>
      <w:r w:rsidRPr="00B13BDC">
        <w:rPr>
          <w:b/>
          <w:bCs/>
          <w:i/>
        </w:rPr>
        <w:t xml:space="preserve"> Chain </w:t>
      </w:r>
      <w:r w:rsidRPr="00B13BDC">
        <w:rPr>
          <w:iCs/>
        </w:rPr>
        <w:t>(WSC)</w:t>
      </w:r>
    </w:p>
    <w:p w14:paraId="03DDCA92" w14:textId="042B6193" w:rsidR="00CC5AB6" w:rsidRDefault="004031CA" w:rsidP="00213A30">
      <w:pPr>
        <w:spacing w:after="0" w:line="240" w:lineRule="auto"/>
        <w:jc w:val="both"/>
        <w:rPr>
          <w:iCs/>
        </w:rPr>
      </w:pPr>
      <w:r>
        <w:rPr>
          <w:iCs/>
        </w:rPr>
        <w:t xml:space="preserve">WSC a finalisé la construction de son </w:t>
      </w:r>
      <w:r w:rsidR="00774B54" w:rsidRPr="00E07AC8">
        <w:rPr>
          <w:iCs/>
        </w:rPr>
        <w:t xml:space="preserve">entrepôt réfrigéré </w:t>
      </w:r>
      <w:r>
        <w:rPr>
          <w:iCs/>
        </w:rPr>
        <w:t xml:space="preserve">qui </w:t>
      </w:r>
      <w:r w:rsidR="00774B54">
        <w:rPr>
          <w:iCs/>
        </w:rPr>
        <w:t>est opérationnel depuis fin 2020.  Il est dédié aux produits frais et alimentaires.</w:t>
      </w:r>
      <w:r>
        <w:rPr>
          <w:iCs/>
        </w:rPr>
        <w:t xml:space="preserve"> </w:t>
      </w:r>
      <w:r w:rsidR="00774B54">
        <w:rPr>
          <w:iCs/>
        </w:rPr>
        <w:t xml:space="preserve">Les deux </w:t>
      </w:r>
      <w:r>
        <w:rPr>
          <w:iCs/>
        </w:rPr>
        <w:t xml:space="preserve">entrepôts logistiques de WSC, </w:t>
      </w:r>
      <w:r w:rsidR="00774B54">
        <w:rPr>
          <w:iCs/>
        </w:rPr>
        <w:t>qui abritent également des bureaux et des espaces sociaux</w:t>
      </w:r>
      <w:r>
        <w:rPr>
          <w:iCs/>
        </w:rPr>
        <w:t xml:space="preserve">, </w:t>
      </w:r>
      <w:r w:rsidR="00774B54">
        <w:rPr>
          <w:iCs/>
        </w:rPr>
        <w:t xml:space="preserve">représentent un investissement total de plus de 50 millions d’euros. </w:t>
      </w:r>
    </w:p>
    <w:p w14:paraId="168370E7" w14:textId="4B8F10FA" w:rsidR="00CC5AB6" w:rsidRDefault="00CC5AB6" w:rsidP="00213A30">
      <w:pPr>
        <w:spacing w:after="0" w:line="240" w:lineRule="auto"/>
        <w:jc w:val="both"/>
        <w:rPr>
          <w:iCs/>
        </w:rPr>
      </w:pPr>
    </w:p>
    <w:p w14:paraId="6629459D" w14:textId="77777777" w:rsidR="00E17B55" w:rsidRDefault="00F56417" w:rsidP="00213A30">
      <w:pPr>
        <w:spacing w:after="0" w:line="240" w:lineRule="auto"/>
        <w:jc w:val="center"/>
        <w:rPr>
          <w:iCs/>
        </w:rPr>
      </w:pPr>
      <w:r>
        <w:rPr>
          <w:noProof/>
        </w:rPr>
        <w:drawing>
          <wp:inline distT="0" distB="0" distL="0" distR="0" wp14:anchorId="51DA458A" wp14:editId="2182B576">
            <wp:extent cx="4290060" cy="2757805"/>
            <wp:effectExtent l="0" t="0" r="0" b="4445"/>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0060" cy="2757805"/>
                    </a:xfrm>
                    <a:prstGeom prst="rect">
                      <a:avLst/>
                    </a:prstGeom>
                  </pic:spPr>
                </pic:pic>
              </a:graphicData>
            </a:graphic>
          </wp:inline>
        </w:drawing>
      </w:r>
    </w:p>
    <w:p w14:paraId="083F6191" w14:textId="16E69B16" w:rsidR="00E17B55" w:rsidRDefault="00E17B55" w:rsidP="00213A30">
      <w:pPr>
        <w:spacing w:after="0" w:line="240" w:lineRule="auto"/>
        <w:rPr>
          <w:iCs/>
        </w:rPr>
      </w:pPr>
    </w:p>
    <w:p w14:paraId="6AB7F30E" w14:textId="33571B20" w:rsidR="00435031" w:rsidRDefault="00435031" w:rsidP="00213A30">
      <w:pPr>
        <w:pStyle w:val="Body"/>
        <w:spacing w:after="0"/>
        <w:rPr>
          <w:sz w:val="22"/>
          <w:szCs w:val="22"/>
        </w:rPr>
      </w:pPr>
      <w:r w:rsidRPr="00393B77">
        <w:rPr>
          <w:sz w:val="22"/>
          <w:szCs w:val="22"/>
        </w:rPr>
        <w:t>Grâce aux divers développements des concessionnaires</w:t>
      </w:r>
      <w:r w:rsidR="00C565C6" w:rsidRPr="00393B77">
        <w:rPr>
          <w:sz w:val="22"/>
          <w:szCs w:val="22"/>
        </w:rPr>
        <w:t xml:space="preserve"> et utilisateurs présents sur cette zone portuaire</w:t>
      </w:r>
      <w:r w:rsidRPr="00393B77">
        <w:rPr>
          <w:sz w:val="22"/>
          <w:szCs w:val="22"/>
        </w:rPr>
        <w:t xml:space="preserve">, la plate-forme de Liège </w:t>
      </w:r>
      <w:proofErr w:type="spellStart"/>
      <w:r w:rsidRPr="00393B77">
        <w:rPr>
          <w:sz w:val="22"/>
          <w:szCs w:val="22"/>
        </w:rPr>
        <w:t>Trilogiport</w:t>
      </w:r>
      <w:proofErr w:type="spellEnd"/>
      <w:r w:rsidRPr="00393B77">
        <w:rPr>
          <w:sz w:val="22"/>
          <w:szCs w:val="22"/>
        </w:rPr>
        <w:t xml:space="preserve"> génèrerait </w:t>
      </w:r>
      <w:r w:rsidR="00C565C6" w:rsidRPr="00393B77">
        <w:rPr>
          <w:sz w:val="22"/>
          <w:szCs w:val="22"/>
        </w:rPr>
        <w:t xml:space="preserve">actuellement </w:t>
      </w:r>
      <w:r w:rsidRPr="00393B77">
        <w:rPr>
          <w:sz w:val="22"/>
          <w:szCs w:val="22"/>
        </w:rPr>
        <w:t xml:space="preserve">580 emplois directs et 1.740 emplois indirects. </w:t>
      </w:r>
    </w:p>
    <w:p w14:paraId="2FB874B1" w14:textId="52616A83" w:rsidR="00A644D6" w:rsidRDefault="00A644D6" w:rsidP="00213A30">
      <w:pPr>
        <w:pStyle w:val="Body"/>
        <w:spacing w:after="0"/>
        <w:rPr>
          <w:sz w:val="22"/>
          <w:szCs w:val="22"/>
        </w:rPr>
      </w:pPr>
    </w:p>
    <w:p w14:paraId="7E4016FA" w14:textId="7BBE6A88" w:rsidR="00A644D6" w:rsidRDefault="00A644D6" w:rsidP="00213A30">
      <w:pPr>
        <w:pStyle w:val="Body"/>
        <w:spacing w:after="0"/>
        <w:rPr>
          <w:sz w:val="22"/>
          <w:szCs w:val="22"/>
        </w:rPr>
      </w:pPr>
    </w:p>
    <w:p w14:paraId="5309CB08" w14:textId="39BED3D7" w:rsidR="00A644D6" w:rsidRDefault="00A644D6" w:rsidP="00213A30">
      <w:pPr>
        <w:pStyle w:val="Body"/>
        <w:spacing w:after="0"/>
        <w:rPr>
          <w:sz w:val="22"/>
          <w:szCs w:val="22"/>
        </w:rPr>
      </w:pPr>
    </w:p>
    <w:p w14:paraId="68D1A217" w14:textId="4D443508" w:rsidR="00A644D6" w:rsidRDefault="00A644D6" w:rsidP="00213A30">
      <w:pPr>
        <w:pStyle w:val="Body"/>
        <w:spacing w:after="0"/>
        <w:rPr>
          <w:sz w:val="22"/>
          <w:szCs w:val="22"/>
        </w:rPr>
      </w:pPr>
    </w:p>
    <w:p w14:paraId="4CB3443B" w14:textId="144D5A7C" w:rsidR="00A644D6" w:rsidRPr="00A644D6" w:rsidRDefault="00A644D6" w:rsidP="00213A30">
      <w:pPr>
        <w:pStyle w:val="Body"/>
        <w:spacing w:after="0"/>
        <w:rPr>
          <w:sz w:val="22"/>
          <w:szCs w:val="22"/>
          <w:u w:val="single"/>
        </w:rPr>
      </w:pPr>
    </w:p>
    <w:p w14:paraId="5036D5E3" w14:textId="37B49A62" w:rsidR="00A644D6" w:rsidRPr="00A644D6" w:rsidRDefault="00A644D6" w:rsidP="00A644D6">
      <w:pPr>
        <w:pStyle w:val="Body"/>
        <w:spacing w:after="0"/>
        <w:rPr>
          <w:sz w:val="22"/>
          <w:szCs w:val="22"/>
          <w:u w:val="single"/>
        </w:rPr>
      </w:pPr>
      <w:r w:rsidRPr="00A644D6">
        <w:rPr>
          <w:sz w:val="22"/>
          <w:szCs w:val="22"/>
          <w:u w:val="single"/>
        </w:rPr>
        <w:t xml:space="preserve">Zone de </w:t>
      </w:r>
      <w:proofErr w:type="spellStart"/>
      <w:r w:rsidRPr="00A644D6">
        <w:rPr>
          <w:sz w:val="22"/>
          <w:szCs w:val="22"/>
          <w:u w:val="single"/>
        </w:rPr>
        <w:t>Chertal</w:t>
      </w:r>
      <w:proofErr w:type="spellEnd"/>
    </w:p>
    <w:p w14:paraId="5A8BAB7B" w14:textId="2B9B162C" w:rsidR="00A644D6" w:rsidRPr="00A644D6" w:rsidRDefault="00A644D6" w:rsidP="00A644D6">
      <w:pPr>
        <w:pStyle w:val="Body"/>
        <w:spacing w:after="0"/>
        <w:rPr>
          <w:sz w:val="22"/>
          <w:szCs w:val="22"/>
        </w:rPr>
      </w:pPr>
      <w:r w:rsidRPr="00A644D6">
        <w:rPr>
          <w:sz w:val="22"/>
          <w:szCs w:val="22"/>
        </w:rPr>
        <w:t xml:space="preserve">Le Port autonome de Liège réitère sa volonté de participer à un projet qui permettra de valoriser le site de </w:t>
      </w:r>
      <w:proofErr w:type="spellStart"/>
      <w:r w:rsidRPr="00A644D6">
        <w:rPr>
          <w:sz w:val="22"/>
          <w:szCs w:val="22"/>
        </w:rPr>
        <w:t>Chertal</w:t>
      </w:r>
      <w:proofErr w:type="spellEnd"/>
      <w:r w:rsidRPr="00A644D6">
        <w:rPr>
          <w:sz w:val="22"/>
          <w:szCs w:val="22"/>
        </w:rPr>
        <w:t xml:space="preserve"> en y développant une zone d’activité économique multimodale en lien avec la voie d’eau.</w:t>
      </w:r>
      <w:r w:rsidR="00AB1521">
        <w:rPr>
          <w:sz w:val="22"/>
          <w:szCs w:val="22"/>
        </w:rPr>
        <w:t xml:space="preserve"> </w:t>
      </w:r>
      <w:r w:rsidRPr="00A644D6">
        <w:rPr>
          <w:sz w:val="22"/>
          <w:szCs w:val="22"/>
        </w:rPr>
        <w:t xml:space="preserve">Un site comme </w:t>
      </w:r>
      <w:proofErr w:type="spellStart"/>
      <w:r w:rsidRPr="00A644D6">
        <w:rPr>
          <w:sz w:val="22"/>
          <w:szCs w:val="22"/>
        </w:rPr>
        <w:t>Chertal</w:t>
      </w:r>
      <w:proofErr w:type="spellEnd"/>
      <w:r w:rsidRPr="00A644D6">
        <w:rPr>
          <w:sz w:val="22"/>
          <w:szCs w:val="22"/>
        </w:rPr>
        <w:t xml:space="preserve">, </w:t>
      </w:r>
      <w:proofErr w:type="gramStart"/>
      <w:r w:rsidRPr="00A644D6">
        <w:rPr>
          <w:sz w:val="22"/>
          <w:szCs w:val="22"/>
        </w:rPr>
        <w:t>de par</w:t>
      </w:r>
      <w:proofErr w:type="gramEnd"/>
      <w:r w:rsidRPr="00A644D6">
        <w:rPr>
          <w:sz w:val="22"/>
          <w:szCs w:val="22"/>
        </w:rPr>
        <w:t xml:space="preserve"> ses caractéristiques et atouts, doit être affecté en partie au moins à des activités en relation avec la voie d’eau et le rail, ceci afin de répondre à la politique mise en place par l’Europe.</w:t>
      </w:r>
    </w:p>
    <w:p w14:paraId="188C9153" w14:textId="77777777" w:rsidR="0003350D" w:rsidRPr="00393B77" w:rsidRDefault="0003350D" w:rsidP="00213A30">
      <w:pPr>
        <w:pStyle w:val="Body"/>
        <w:spacing w:after="0"/>
        <w:rPr>
          <w:iCs/>
          <w:sz w:val="22"/>
          <w:szCs w:val="22"/>
        </w:rPr>
      </w:pPr>
    </w:p>
    <w:p w14:paraId="397DE773" w14:textId="0BCA3915" w:rsidR="000A1717" w:rsidRDefault="00407542" w:rsidP="00213A30">
      <w:pPr>
        <w:spacing w:after="0" w:line="240" w:lineRule="auto"/>
        <w:rPr>
          <w:b/>
          <w:bCs/>
          <w:iCs/>
        </w:rPr>
      </w:pPr>
      <w:r w:rsidRPr="00393B77">
        <w:rPr>
          <w:b/>
          <w:bCs/>
          <w:iCs/>
        </w:rPr>
        <w:t xml:space="preserve">6.2. </w:t>
      </w:r>
      <w:r w:rsidR="0056119B">
        <w:rPr>
          <w:b/>
          <w:bCs/>
          <w:iCs/>
        </w:rPr>
        <w:t xml:space="preserve">  </w:t>
      </w:r>
      <w:r w:rsidR="009F2508" w:rsidRPr="00393B77">
        <w:rPr>
          <w:b/>
          <w:bCs/>
          <w:iCs/>
        </w:rPr>
        <w:t>Port de Hermalle-sous-Huy : Concession d’un terrain à la SPRL LOISEAU</w:t>
      </w:r>
      <w:r w:rsidR="004925D8" w:rsidRPr="00393B77">
        <w:rPr>
          <w:b/>
          <w:bCs/>
          <w:iCs/>
        </w:rPr>
        <w:t xml:space="preserve"> – Collaboration avec la SPI</w:t>
      </w:r>
    </w:p>
    <w:p w14:paraId="67FC8EDA" w14:textId="77777777" w:rsidR="0056119B" w:rsidRPr="00393B77" w:rsidRDefault="0056119B" w:rsidP="00213A30">
      <w:pPr>
        <w:spacing w:after="0" w:line="240" w:lineRule="auto"/>
        <w:rPr>
          <w:b/>
          <w:bCs/>
          <w:iCs/>
        </w:rPr>
      </w:pPr>
    </w:p>
    <w:p w14:paraId="0FD7D1C8" w14:textId="325D3C28" w:rsidR="00FC7B56" w:rsidRPr="00393B77" w:rsidRDefault="009F2508" w:rsidP="00213A30">
      <w:pPr>
        <w:spacing w:after="0" w:line="240" w:lineRule="auto"/>
        <w:jc w:val="both"/>
        <w:rPr>
          <w:iCs/>
        </w:rPr>
      </w:pPr>
      <w:r w:rsidRPr="00393B77">
        <w:rPr>
          <w:iCs/>
        </w:rPr>
        <w:t xml:space="preserve">Le Port autonome de Liège a octroyé </w:t>
      </w:r>
      <w:r w:rsidR="00C56D21" w:rsidRPr="00393B77">
        <w:rPr>
          <w:iCs/>
        </w:rPr>
        <w:t xml:space="preserve">à </w:t>
      </w:r>
      <w:r w:rsidR="009506BA" w:rsidRPr="00393B77">
        <w:rPr>
          <w:iCs/>
        </w:rPr>
        <w:t xml:space="preserve">la société </w:t>
      </w:r>
      <w:r w:rsidR="00C56D21" w:rsidRPr="00393B77">
        <w:rPr>
          <w:iCs/>
        </w:rPr>
        <w:t xml:space="preserve">LOISEAU, active dans le secteur des travaux de terrassement, démolition et recyclage, </w:t>
      </w:r>
      <w:r w:rsidRPr="00393B77">
        <w:rPr>
          <w:iCs/>
        </w:rPr>
        <w:t>une concession de 3.750 m² entre un des appontements du port et le terrain de 19.200 m² qu’elle exploite dans le zoning de la SPI.  Ceci lui permet dorénavant de disposer d’un accès direct à la voie d’eau.</w:t>
      </w:r>
    </w:p>
    <w:p w14:paraId="0641A35A" w14:textId="1F24672C" w:rsidR="00FC7B56" w:rsidRPr="00393B77" w:rsidRDefault="00FC7B56" w:rsidP="00213A30">
      <w:pPr>
        <w:spacing w:after="0" w:line="240" w:lineRule="auto"/>
        <w:jc w:val="both"/>
        <w:rPr>
          <w:iCs/>
        </w:rPr>
      </w:pPr>
    </w:p>
    <w:p w14:paraId="1179568E" w14:textId="5F013230" w:rsidR="00FC7B56" w:rsidRDefault="00FC7B56" w:rsidP="00213A30">
      <w:pPr>
        <w:pStyle w:val="NormalWeb"/>
        <w:spacing w:before="0" w:beforeAutospacing="0" w:after="0" w:afterAutospacing="0"/>
        <w:jc w:val="both"/>
        <w:rPr>
          <w:rFonts w:asciiTheme="minorHAnsi" w:hAnsiTheme="minorHAnsi"/>
          <w:b/>
          <w:bCs/>
          <w:iCs/>
          <w:sz w:val="22"/>
          <w:szCs w:val="22"/>
        </w:rPr>
      </w:pPr>
      <w:r w:rsidRPr="00393B77">
        <w:rPr>
          <w:rFonts w:asciiTheme="minorHAnsi" w:hAnsiTheme="minorHAnsi"/>
          <w:b/>
          <w:bCs/>
          <w:iCs/>
          <w:sz w:val="22"/>
          <w:szCs w:val="22"/>
        </w:rPr>
        <w:t xml:space="preserve">6.3 </w:t>
      </w:r>
      <w:r w:rsidR="0056119B">
        <w:rPr>
          <w:rFonts w:asciiTheme="minorHAnsi" w:hAnsiTheme="minorHAnsi"/>
          <w:b/>
          <w:bCs/>
          <w:iCs/>
          <w:sz w:val="22"/>
          <w:szCs w:val="22"/>
        </w:rPr>
        <w:t xml:space="preserve">  </w:t>
      </w:r>
      <w:r w:rsidR="00363C3E" w:rsidRPr="00393B77">
        <w:rPr>
          <w:rFonts w:asciiTheme="minorHAnsi" w:hAnsiTheme="minorHAnsi"/>
          <w:b/>
          <w:bCs/>
          <w:iCs/>
          <w:sz w:val="22"/>
          <w:szCs w:val="22"/>
        </w:rPr>
        <w:t xml:space="preserve">Le </w:t>
      </w:r>
      <w:r w:rsidRPr="00393B77">
        <w:rPr>
          <w:rFonts w:asciiTheme="minorHAnsi" w:hAnsiTheme="minorHAnsi"/>
          <w:b/>
          <w:bCs/>
          <w:iCs/>
          <w:sz w:val="22"/>
          <w:szCs w:val="22"/>
        </w:rPr>
        <w:t xml:space="preserve">succès de </w:t>
      </w:r>
      <w:proofErr w:type="spellStart"/>
      <w:r w:rsidRPr="00393B77">
        <w:rPr>
          <w:rFonts w:asciiTheme="minorHAnsi" w:hAnsiTheme="minorHAnsi"/>
          <w:b/>
          <w:bCs/>
          <w:iCs/>
          <w:sz w:val="22"/>
          <w:szCs w:val="22"/>
        </w:rPr>
        <w:t>Newpharma</w:t>
      </w:r>
      <w:proofErr w:type="spellEnd"/>
      <w:r w:rsidRPr="00393B77">
        <w:rPr>
          <w:rFonts w:asciiTheme="minorHAnsi" w:hAnsiTheme="minorHAnsi"/>
          <w:b/>
          <w:bCs/>
          <w:iCs/>
          <w:sz w:val="22"/>
          <w:szCs w:val="22"/>
        </w:rPr>
        <w:t xml:space="preserve"> </w:t>
      </w:r>
      <w:r w:rsidR="00363C3E" w:rsidRPr="00393B77">
        <w:rPr>
          <w:rFonts w:asciiTheme="minorHAnsi" w:hAnsiTheme="minorHAnsi"/>
          <w:b/>
          <w:bCs/>
          <w:iCs/>
          <w:sz w:val="22"/>
          <w:szCs w:val="22"/>
        </w:rPr>
        <w:t>au port de Wandre</w:t>
      </w:r>
    </w:p>
    <w:p w14:paraId="4BEF31FB" w14:textId="77777777" w:rsidR="0056119B" w:rsidRPr="00393B77" w:rsidRDefault="0056119B" w:rsidP="00213A30">
      <w:pPr>
        <w:pStyle w:val="NormalWeb"/>
        <w:spacing w:before="0" w:beforeAutospacing="0" w:after="0" w:afterAutospacing="0"/>
        <w:jc w:val="both"/>
        <w:rPr>
          <w:rFonts w:asciiTheme="minorHAnsi" w:hAnsiTheme="minorHAnsi"/>
          <w:iCs/>
          <w:sz w:val="22"/>
          <w:szCs w:val="22"/>
        </w:rPr>
      </w:pPr>
    </w:p>
    <w:p w14:paraId="5296D4A8" w14:textId="3DD9996E" w:rsidR="00FC7B56" w:rsidRDefault="00FC7B56" w:rsidP="00213A30">
      <w:pPr>
        <w:spacing w:after="0" w:line="240" w:lineRule="auto"/>
        <w:jc w:val="both"/>
      </w:pPr>
      <w:r w:rsidRPr="00393B77">
        <w:t xml:space="preserve">Située à Wandre sur un terrain du Port autonome de Liège, </w:t>
      </w:r>
      <w:r w:rsidR="00C360A2" w:rsidRPr="00393B77">
        <w:t xml:space="preserve">la société </w:t>
      </w:r>
      <w:proofErr w:type="spellStart"/>
      <w:r w:rsidRPr="00393B77">
        <w:t>Newpharma</w:t>
      </w:r>
      <w:proofErr w:type="spellEnd"/>
      <w:r w:rsidRPr="00393B77">
        <w:t xml:space="preserve"> (numéro un belge de la pharmacie en ligne – </w:t>
      </w:r>
      <w:r w:rsidR="00C360A2" w:rsidRPr="00393B77">
        <w:t xml:space="preserve">présente </w:t>
      </w:r>
      <w:r w:rsidRPr="00393B77">
        <w:t xml:space="preserve">dans 12 pays) connaît toujours une forte croissance grâce à </w:t>
      </w:r>
      <w:r w:rsidR="00C360A2" w:rsidRPr="00393B77">
        <w:t>l’explosion de commandes en ligne due à la crise sanitaire ainsi que les changements dans les habitudes de consommation</w:t>
      </w:r>
      <w:r w:rsidRPr="00393B77">
        <w:t>.</w:t>
      </w:r>
      <w:r w:rsidR="00C360A2" w:rsidRPr="00393B77">
        <w:t xml:space="preserve"> </w:t>
      </w:r>
      <w:proofErr w:type="spellStart"/>
      <w:r w:rsidRPr="00393B77">
        <w:t>Newpharma</w:t>
      </w:r>
      <w:proofErr w:type="spellEnd"/>
      <w:r w:rsidRPr="00393B77">
        <w:t xml:space="preserve"> et le groupe Colruyt, actionnaire de </w:t>
      </w:r>
      <w:proofErr w:type="spellStart"/>
      <w:r w:rsidRPr="00393B77">
        <w:t>Newpharma</w:t>
      </w:r>
      <w:proofErr w:type="spellEnd"/>
      <w:r w:rsidRPr="00393B77">
        <w:t xml:space="preserve">, </w:t>
      </w:r>
      <w:r w:rsidR="00EF249D" w:rsidRPr="00393B77">
        <w:t>ont</w:t>
      </w:r>
      <w:r w:rsidRPr="00393B77">
        <w:t xml:space="preserve"> réalisé une extension de plus de 20.000 m² de son centre logistique</w:t>
      </w:r>
      <w:r w:rsidR="00C360A2" w:rsidRPr="00393B77">
        <w:t xml:space="preserve"> afin de continuer sa croissance. </w:t>
      </w:r>
      <w:proofErr w:type="spellStart"/>
      <w:r w:rsidRPr="00393B77">
        <w:t>Newpharma</w:t>
      </w:r>
      <w:proofErr w:type="spellEnd"/>
      <w:r w:rsidRPr="00393B77">
        <w:t xml:space="preserve"> emploie actuellement plus de 300 personnes</w:t>
      </w:r>
      <w:r w:rsidR="00226910" w:rsidRPr="00393B77">
        <w:t xml:space="preserve"> et</w:t>
      </w:r>
      <w:r w:rsidRPr="00393B77">
        <w:t xml:space="preserve"> est actuellement à la recherche de 50 </w:t>
      </w:r>
      <w:r w:rsidR="00C360A2" w:rsidRPr="00393B77">
        <w:t>collaborateurs</w:t>
      </w:r>
      <w:r w:rsidRPr="00393B77">
        <w:t xml:space="preserve">. </w:t>
      </w:r>
    </w:p>
    <w:p w14:paraId="5FDFF510" w14:textId="2DC95A6E" w:rsidR="0056119B" w:rsidRDefault="0056119B" w:rsidP="00213A30">
      <w:pPr>
        <w:spacing w:after="0" w:line="240" w:lineRule="auto"/>
        <w:jc w:val="both"/>
      </w:pPr>
    </w:p>
    <w:p w14:paraId="78C09DB6" w14:textId="77777777" w:rsidR="0056119B" w:rsidRPr="00393B77" w:rsidRDefault="0056119B" w:rsidP="00213A30">
      <w:pPr>
        <w:spacing w:after="0" w:line="240" w:lineRule="auto"/>
        <w:jc w:val="both"/>
      </w:pPr>
    </w:p>
    <w:p w14:paraId="66E60629" w14:textId="24C4863B" w:rsidR="00363C3E" w:rsidRPr="002D1856" w:rsidRDefault="00363C3E" w:rsidP="00213A30">
      <w:pPr>
        <w:pStyle w:val="Chapitre"/>
        <w:spacing w:after="0" w:line="240" w:lineRule="auto"/>
        <w:rPr>
          <w:rFonts w:cs="Arial"/>
        </w:rPr>
      </w:pPr>
      <w:r>
        <w:rPr>
          <w:rFonts w:cs="Arial"/>
        </w:rPr>
        <w:t>7.</w:t>
      </w:r>
      <w:r w:rsidR="0056119B">
        <w:rPr>
          <w:rFonts w:cs="Arial"/>
        </w:rPr>
        <w:t xml:space="preserve"> </w:t>
      </w:r>
      <w:r>
        <w:rPr>
          <w:rFonts w:cs="Arial"/>
        </w:rPr>
        <w:t>Budget des travaux – Clôture des travaux 2021</w:t>
      </w:r>
    </w:p>
    <w:p w14:paraId="057B512E" w14:textId="77777777" w:rsidR="00363C3E" w:rsidRPr="004E5A6C" w:rsidRDefault="00363C3E" w:rsidP="00213A30">
      <w:pPr>
        <w:spacing w:after="0" w:line="240" w:lineRule="auto"/>
        <w:jc w:val="both"/>
        <w:rPr>
          <w:iCs/>
        </w:rPr>
      </w:pPr>
    </w:p>
    <w:p w14:paraId="1086BD48" w14:textId="106F43EF" w:rsidR="00C668F8" w:rsidRDefault="009F2508" w:rsidP="00213A30">
      <w:pPr>
        <w:spacing w:after="0" w:line="240" w:lineRule="auto"/>
        <w:jc w:val="both"/>
        <w:rPr>
          <w:iCs/>
        </w:rPr>
      </w:pPr>
      <w:r>
        <w:rPr>
          <w:iCs/>
        </w:rPr>
        <w:t xml:space="preserve">Cette année 2021 a vu la concrétisation des marchés de travaux suivants, objets du </w:t>
      </w:r>
      <w:r w:rsidRPr="00AF0EBA">
        <w:rPr>
          <w:i/>
        </w:rPr>
        <w:t>plan quinquennal 2020-2024</w:t>
      </w:r>
      <w:r>
        <w:rPr>
          <w:iCs/>
        </w:rPr>
        <w:t> :</w:t>
      </w:r>
    </w:p>
    <w:p w14:paraId="178DE232" w14:textId="77777777" w:rsidR="0056119B" w:rsidRDefault="0056119B" w:rsidP="00213A30">
      <w:pPr>
        <w:spacing w:after="0" w:line="240" w:lineRule="auto"/>
        <w:jc w:val="both"/>
        <w:rPr>
          <w:iCs/>
        </w:rPr>
      </w:pPr>
    </w:p>
    <w:p w14:paraId="0527C006" w14:textId="392B5EBF" w:rsidR="009F2508" w:rsidRDefault="009F2508" w:rsidP="00213A30">
      <w:pPr>
        <w:pStyle w:val="Paragraphedeliste"/>
        <w:numPr>
          <w:ilvl w:val="0"/>
          <w:numId w:val="3"/>
        </w:numPr>
        <w:spacing w:after="0" w:line="240" w:lineRule="auto"/>
        <w:ind w:left="426"/>
        <w:jc w:val="both"/>
        <w:rPr>
          <w:iCs/>
        </w:rPr>
      </w:pPr>
      <w:r>
        <w:rPr>
          <w:iCs/>
        </w:rPr>
        <w:t xml:space="preserve">La rénovation des pylônes et poteaux d’éclairage public des routes 5, 6 et 8 au port de </w:t>
      </w:r>
      <w:proofErr w:type="spellStart"/>
      <w:r>
        <w:rPr>
          <w:iCs/>
        </w:rPr>
        <w:t>Monsin</w:t>
      </w:r>
      <w:proofErr w:type="spellEnd"/>
      <w:r>
        <w:rPr>
          <w:iCs/>
        </w:rPr>
        <w:t xml:space="preserve"> (258.224,62 € hors TVA) ;</w:t>
      </w:r>
    </w:p>
    <w:p w14:paraId="4FDEA345" w14:textId="77777777" w:rsidR="0056119B" w:rsidRDefault="0056119B" w:rsidP="0056119B">
      <w:pPr>
        <w:pStyle w:val="Paragraphedeliste"/>
        <w:spacing w:after="0" w:line="240" w:lineRule="auto"/>
        <w:ind w:left="426"/>
        <w:jc w:val="both"/>
        <w:rPr>
          <w:iCs/>
        </w:rPr>
      </w:pPr>
    </w:p>
    <w:p w14:paraId="60FE5070" w14:textId="2B2A7EC3" w:rsidR="009F2508" w:rsidRDefault="009F2508" w:rsidP="00213A30">
      <w:pPr>
        <w:pStyle w:val="Paragraphedeliste"/>
        <w:numPr>
          <w:ilvl w:val="0"/>
          <w:numId w:val="3"/>
        </w:numPr>
        <w:spacing w:after="0" w:line="240" w:lineRule="auto"/>
        <w:ind w:left="426"/>
        <w:jc w:val="both"/>
        <w:rPr>
          <w:iCs/>
        </w:rPr>
      </w:pPr>
      <w:r>
        <w:rPr>
          <w:iCs/>
        </w:rPr>
        <w:t xml:space="preserve">La motorisation des barrières d’accès surplombant la voie ferrée traversant les sites d’Arcelor et de Liège </w:t>
      </w:r>
      <w:proofErr w:type="spellStart"/>
      <w:r>
        <w:rPr>
          <w:iCs/>
        </w:rPr>
        <w:t>Trilogiport</w:t>
      </w:r>
      <w:proofErr w:type="spellEnd"/>
      <w:r>
        <w:rPr>
          <w:iCs/>
        </w:rPr>
        <w:t xml:space="preserve"> (176.616,98 € hors TVA).</w:t>
      </w:r>
    </w:p>
    <w:p w14:paraId="184DB983" w14:textId="77777777" w:rsidR="0056119B" w:rsidRPr="0056119B" w:rsidRDefault="0056119B" w:rsidP="0056119B">
      <w:pPr>
        <w:spacing w:after="0" w:line="240" w:lineRule="auto"/>
        <w:jc w:val="both"/>
        <w:rPr>
          <w:iCs/>
        </w:rPr>
      </w:pPr>
    </w:p>
    <w:p w14:paraId="57027EBE" w14:textId="2C01A561" w:rsidR="00086CBF" w:rsidRPr="007A5336" w:rsidRDefault="00086CBF" w:rsidP="00213A30">
      <w:pPr>
        <w:spacing w:after="0" w:line="240" w:lineRule="auto"/>
        <w:jc w:val="both"/>
        <w:rPr>
          <w:iCs/>
        </w:rPr>
      </w:pPr>
      <w:r w:rsidRPr="007A5336">
        <w:rPr>
          <w:iCs/>
        </w:rPr>
        <w:t xml:space="preserve">Ces travaux sont réalisés en étroit partenariat avec le Service public de Wallonie Mobilité et Infrastructures. </w:t>
      </w:r>
    </w:p>
    <w:p w14:paraId="1334CC38" w14:textId="188F6487" w:rsidR="00F51428" w:rsidRPr="0056119B" w:rsidRDefault="00F51428" w:rsidP="00213A30">
      <w:pPr>
        <w:spacing w:after="0" w:line="240" w:lineRule="auto"/>
        <w:jc w:val="both"/>
        <w:rPr>
          <w:iCs/>
        </w:rPr>
      </w:pPr>
    </w:p>
    <w:p w14:paraId="1461292F" w14:textId="6132C922" w:rsidR="002314DC" w:rsidRDefault="004C56F1" w:rsidP="00213A30">
      <w:pPr>
        <w:spacing w:after="0" w:line="240" w:lineRule="auto"/>
        <w:jc w:val="both"/>
        <w:rPr>
          <w:rFonts w:ascii="Calibri" w:hAnsi="Calibri"/>
        </w:rPr>
      </w:pPr>
      <w:r w:rsidRPr="007A5336">
        <w:rPr>
          <w:rFonts w:ascii="Calibri" w:hAnsi="Calibri"/>
        </w:rPr>
        <w:t xml:space="preserve">Par ailleurs, </w:t>
      </w:r>
      <w:r w:rsidR="006A6153" w:rsidRPr="007A5336">
        <w:rPr>
          <w:rFonts w:ascii="Calibri" w:hAnsi="Calibri"/>
        </w:rPr>
        <w:t>l</w:t>
      </w:r>
      <w:r w:rsidR="00EF778D" w:rsidRPr="007A5336">
        <w:rPr>
          <w:rFonts w:ascii="Calibri" w:hAnsi="Calibri"/>
        </w:rPr>
        <w:t xml:space="preserve">e Port autonome de Liège a également </w:t>
      </w:r>
      <w:r w:rsidR="005A24BC" w:rsidRPr="007A5336">
        <w:rPr>
          <w:rFonts w:ascii="Calibri" w:hAnsi="Calibri"/>
        </w:rPr>
        <w:t>clôturé</w:t>
      </w:r>
      <w:r w:rsidR="00EF778D" w:rsidRPr="007A5336">
        <w:rPr>
          <w:rFonts w:ascii="Calibri" w:hAnsi="Calibri"/>
        </w:rPr>
        <w:t xml:space="preserve"> en 2021 des travaux d’extension de ses bureaux de la Maison du Port. La nouvelle partie </w:t>
      </w:r>
      <w:r w:rsidR="005A24BC" w:rsidRPr="007A5336">
        <w:rPr>
          <w:rFonts w:ascii="Calibri" w:hAnsi="Calibri"/>
        </w:rPr>
        <w:t xml:space="preserve">comprend de </w:t>
      </w:r>
      <w:r w:rsidR="00EF778D" w:rsidRPr="007A5336">
        <w:rPr>
          <w:rFonts w:ascii="Calibri" w:hAnsi="Calibri"/>
        </w:rPr>
        <w:t xml:space="preserve">nouveaux bureaux ainsi qu’une salle de réunion permettant l’accès </w:t>
      </w:r>
      <w:r w:rsidR="00776639" w:rsidRPr="007A5336">
        <w:rPr>
          <w:rFonts w:ascii="Calibri" w:hAnsi="Calibri"/>
        </w:rPr>
        <w:t xml:space="preserve">aisé </w:t>
      </w:r>
      <w:r w:rsidR="00EF778D" w:rsidRPr="007A5336">
        <w:rPr>
          <w:rFonts w:ascii="Calibri" w:hAnsi="Calibri"/>
        </w:rPr>
        <w:t>aux personnes à mobilité réduite</w:t>
      </w:r>
      <w:r w:rsidR="008204D5" w:rsidRPr="007A5336">
        <w:rPr>
          <w:rFonts w:ascii="Calibri" w:hAnsi="Calibri"/>
        </w:rPr>
        <w:t xml:space="preserve"> </w:t>
      </w:r>
      <w:r w:rsidR="00776639" w:rsidRPr="007A5336">
        <w:rPr>
          <w:rFonts w:ascii="Calibri" w:hAnsi="Calibri"/>
        </w:rPr>
        <w:t>(PMR)</w:t>
      </w:r>
      <w:r w:rsidR="00EF778D" w:rsidRPr="007A5336">
        <w:rPr>
          <w:rFonts w:ascii="Calibri" w:hAnsi="Calibri"/>
        </w:rPr>
        <w:t xml:space="preserve">. </w:t>
      </w:r>
      <w:r w:rsidR="00ED222C" w:rsidRPr="007A5336">
        <w:rPr>
          <w:rFonts w:ascii="Calibri" w:hAnsi="Calibri"/>
        </w:rPr>
        <w:t>Se sont ajoutés la rénovation de la toiture de la Maison du Port ainsi que l’isolation d</w:t>
      </w:r>
      <w:r w:rsidR="005A24BC" w:rsidRPr="007A5336">
        <w:rPr>
          <w:rFonts w:ascii="Calibri" w:hAnsi="Calibri"/>
        </w:rPr>
        <w:t xml:space="preserve">es </w:t>
      </w:r>
      <w:r w:rsidR="00480031" w:rsidRPr="007A5336">
        <w:rPr>
          <w:rFonts w:ascii="Calibri" w:hAnsi="Calibri"/>
        </w:rPr>
        <w:t>combles du</w:t>
      </w:r>
      <w:r w:rsidR="005A24BC" w:rsidRPr="007A5336">
        <w:rPr>
          <w:rFonts w:ascii="Calibri" w:hAnsi="Calibri"/>
        </w:rPr>
        <w:t xml:space="preserve"> </w:t>
      </w:r>
      <w:r w:rsidR="00ED222C" w:rsidRPr="007A5336">
        <w:rPr>
          <w:rFonts w:ascii="Calibri" w:hAnsi="Calibri"/>
        </w:rPr>
        <w:t xml:space="preserve">bâtiment existant. </w:t>
      </w:r>
    </w:p>
    <w:p w14:paraId="745AFE4E" w14:textId="61DAF82F" w:rsidR="0056119B" w:rsidRDefault="0056119B" w:rsidP="00213A30">
      <w:pPr>
        <w:spacing w:after="0" w:line="240" w:lineRule="auto"/>
        <w:jc w:val="both"/>
        <w:rPr>
          <w:rFonts w:ascii="Calibri" w:hAnsi="Calibri"/>
        </w:rPr>
      </w:pPr>
    </w:p>
    <w:p w14:paraId="28701B09" w14:textId="77777777" w:rsidR="0056119B" w:rsidRPr="007A5336" w:rsidRDefault="0056119B" w:rsidP="00213A30">
      <w:pPr>
        <w:spacing w:after="0" w:line="240" w:lineRule="auto"/>
        <w:jc w:val="both"/>
        <w:rPr>
          <w:rFonts w:ascii="Calibri" w:hAnsi="Calibri"/>
        </w:rPr>
      </w:pPr>
    </w:p>
    <w:p w14:paraId="39F50A2E" w14:textId="3D9A386A" w:rsidR="00883737" w:rsidRPr="002D1856" w:rsidRDefault="00363C3E" w:rsidP="00213A30">
      <w:pPr>
        <w:pStyle w:val="Chapitre"/>
        <w:spacing w:after="0" w:line="240" w:lineRule="auto"/>
        <w:rPr>
          <w:rFonts w:cs="Arial"/>
        </w:rPr>
      </w:pPr>
      <w:r>
        <w:rPr>
          <w:rFonts w:cs="Arial"/>
        </w:rPr>
        <w:t>8</w:t>
      </w:r>
      <w:r w:rsidR="00883737">
        <w:rPr>
          <w:rFonts w:cs="Arial"/>
        </w:rPr>
        <w:t>.</w:t>
      </w:r>
      <w:r w:rsidR="00233468">
        <w:rPr>
          <w:rFonts w:cs="Arial"/>
        </w:rPr>
        <w:t xml:space="preserve"> </w:t>
      </w:r>
      <w:r w:rsidR="00883737">
        <w:rPr>
          <w:rFonts w:cs="Arial"/>
        </w:rPr>
        <w:t>Investissements 2022</w:t>
      </w:r>
    </w:p>
    <w:p w14:paraId="08945876" w14:textId="32A32AA6" w:rsidR="00883737" w:rsidRPr="00464C93" w:rsidRDefault="00883737" w:rsidP="00213A30">
      <w:pPr>
        <w:spacing w:after="0" w:line="240" w:lineRule="auto"/>
        <w:jc w:val="both"/>
      </w:pPr>
    </w:p>
    <w:p w14:paraId="79412866" w14:textId="6A7D775A" w:rsidR="00C93BC2" w:rsidRDefault="00C93BC2" w:rsidP="00213A30">
      <w:pPr>
        <w:spacing w:after="0" w:line="240" w:lineRule="auto"/>
        <w:ind w:left="66"/>
        <w:jc w:val="both"/>
        <w:rPr>
          <w:iCs/>
        </w:rPr>
      </w:pPr>
      <w:r>
        <w:rPr>
          <w:iCs/>
        </w:rPr>
        <w:t xml:space="preserve">Le Port autonome de Liège continue ses investissements en faveur du report modal et de la multimodalité. </w:t>
      </w:r>
    </w:p>
    <w:p w14:paraId="763D193A" w14:textId="024111F0" w:rsidR="009F2508" w:rsidRPr="00DA0B9C" w:rsidRDefault="00C93BC2" w:rsidP="00213A30">
      <w:pPr>
        <w:spacing w:after="0" w:line="240" w:lineRule="auto"/>
        <w:ind w:left="66"/>
        <w:jc w:val="both"/>
        <w:rPr>
          <w:iCs/>
        </w:rPr>
      </w:pPr>
      <w:r>
        <w:rPr>
          <w:iCs/>
        </w:rPr>
        <w:t xml:space="preserve">Trois </w:t>
      </w:r>
      <w:r w:rsidR="009F2508" w:rsidRPr="00DA0B9C">
        <w:rPr>
          <w:iCs/>
        </w:rPr>
        <w:t>projets porteurs </w:t>
      </w:r>
      <w:r w:rsidR="00DE3A1B" w:rsidRPr="00DA0B9C">
        <w:rPr>
          <w:iCs/>
        </w:rPr>
        <w:t>pour la multimodalité</w:t>
      </w:r>
      <w:r w:rsidR="009F2508" w:rsidRPr="00DA0B9C">
        <w:rPr>
          <w:iCs/>
        </w:rPr>
        <w:t xml:space="preserve"> sont à épingler </w:t>
      </w:r>
      <w:r>
        <w:rPr>
          <w:iCs/>
        </w:rPr>
        <w:t xml:space="preserve">pour </w:t>
      </w:r>
      <w:proofErr w:type="gramStart"/>
      <w:r>
        <w:rPr>
          <w:iCs/>
        </w:rPr>
        <w:t>2022</w:t>
      </w:r>
      <w:r w:rsidR="009F2508" w:rsidRPr="00DA0B9C">
        <w:rPr>
          <w:iCs/>
        </w:rPr>
        <w:t>:</w:t>
      </w:r>
      <w:proofErr w:type="gramEnd"/>
    </w:p>
    <w:p w14:paraId="20FDB2F1" w14:textId="77777777" w:rsidR="009F2508" w:rsidRDefault="009F2508" w:rsidP="00213A30">
      <w:pPr>
        <w:spacing w:after="0" w:line="240" w:lineRule="auto"/>
        <w:jc w:val="both"/>
        <w:rPr>
          <w:iCs/>
        </w:rPr>
      </w:pPr>
    </w:p>
    <w:p w14:paraId="2F290791" w14:textId="505613D5" w:rsidR="003721E2" w:rsidRPr="007A5336" w:rsidRDefault="007831A9" w:rsidP="0056119B">
      <w:pPr>
        <w:pStyle w:val="Paragraphedeliste"/>
        <w:numPr>
          <w:ilvl w:val="0"/>
          <w:numId w:val="8"/>
        </w:numPr>
        <w:spacing w:after="0" w:line="240" w:lineRule="auto"/>
        <w:ind w:left="426" w:hanging="426"/>
        <w:jc w:val="both"/>
      </w:pPr>
      <w:r w:rsidRPr="007A5336">
        <w:rPr>
          <w:b/>
          <w:bCs/>
          <w:iCs/>
        </w:rPr>
        <w:t xml:space="preserve">Nouvelle </w:t>
      </w:r>
      <w:r w:rsidR="00DA0B9C" w:rsidRPr="007A5336">
        <w:rPr>
          <w:b/>
          <w:bCs/>
          <w:iCs/>
        </w:rPr>
        <w:t xml:space="preserve">extension du terminal à conteneurs de Liège </w:t>
      </w:r>
      <w:proofErr w:type="spellStart"/>
      <w:r w:rsidR="00DA0B9C" w:rsidRPr="007A5336">
        <w:rPr>
          <w:b/>
          <w:bCs/>
          <w:iCs/>
        </w:rPr>
        <w:t>Trilogiport</w:t>
      </w:r>
      <w:proofErr w:type="spellEnd"/>
      <w:r w:rsidR="00DA0B9C" w:rsidRPr="007A5336">
        <w:rPr>
          <w:iCs/>
        </w:rPr>
        <w:t xml:space="preserve">. </w:t>
      </w:r>
      <w:r w:rsidR="00DA0B9C" w:rsidRPr="007A5336">
        <w:rPr>
          <w:rFonts w:cstheme="minorHAnsi"/>
        </w:rPr>
        <w:t xml:space="preserve">En pleine expansion depuis 2016, le terminal à conteneurs de Liège </w:t>
      </w:r>
      <w:proofErr w:type="spellStart"/>
      <w:r w:rsidR="00DA0B9C" w:rsidRPr="007A5336">
        <w:rPr>
          <w:rFonts w:cstheme="minorHAnsi"/>
        </w:rPr>
        <w:t>Trilogiport</w:t>
      </w:r>
      <w:proofErr w:type="spellEnd"/>
      <w:r w:rsidR="00DA0B9C" w:rsidRPr="007A5336">
        <w:rPr>
          <w:rFonts w:cstheme="minorHAnsi"/>
        </w:rPr>
        <w:t xml:space="preserve"> </w:t>
      </w:r>
      <w:r w:rsidR="003721E2" w:rsidRPr="007A5336">
        <w:rPr>
          <w:rFonts w:cstheme="minorHAnsi"/>
        </w:rPr>
        <w:t xml:space="preserve">(actuellement d’une superficie de 3,6 hectares) </w:t>
      </w:r>
      <w:r w:rsidR="00DA0B9C" w:rsidRPr="007A5336">
        <w:rPr>
          <w:rFonts w:cstheme="minorHAnsi"/>
        </w:rPr>
        <w:t>va être doté de 5,8 hectares supplémentaires. Adjugés en décembre 2021, les travaux d’extension du terminal à conteneurs démarrer</w:t>
      </w:r>
      <w:r w:rsidR="00B6324F" w:rsidRPr="007A5336">
        <w:rPr>
          <w:rFonts w:cstheme="minorHAnsi"/>
        </w:rPr>
        <w:t xml:space="preserve">ont </w:t>
      </w:r>
      <w:r w:rsidR="008204D5" w:rsidRPr="007A5336">
        <w:rPr>
          <w:rFonts w:cstheme="minorHAnsi"/>
        </w:rPr>
        <w:t>en mars</w:t>
      </w:r>
      <w:r w:rsidR="00DA0B9C" w:rsidRPr="007A5336">
        <w:rPr>
          <w:rFonts w:cstheme="minorHAnsi"/>
        </w:rPr>
        <w:t xml:space="preserve"> 2022 et </w:t>
      </w:r>
      <w:r w:rsidR="002C1A15" w:rsidRPr="007A5336">
        <w:rPr>
          <w:rFonts w:cstheme="minorHAnsi"/>
        </w:rPr>
        <w:t xml:space="preserve">devraient être </w:t>
      </w:r>
      <w:r w:rsidR="00DA0B9C" w:rsidRPr="007A5336">
        <w:rPr>
          <w:rFonts w:cstheme="minorHAnsi"/>
        </w:rPr>
        <w:t>finalisés</w:t>
      </w:r>
      <w:r w:rsidR="00E238B4" w:rsidRPr="007A5336">
        <w:rPr>
          <w:rFonts w:cstheme="minorHAnsi"/>
        </w:rPr>
        <w:t xml:space="preserve"> </w:t>
      </w:r>
      <w:r w:rsidR="000F2B8E" w:rsidRPr="007A5336">
        <w:rPr>
          <w:rFonts w:cstheme="minorHAnsi"/>
        </w:rPr>
        <w:t>au plus tard fin</w:t>
      </w:r>
      <w:r w:rsidR="00E238B4" w:rsidRPr="007A5336">
        <w:rPr>
          <w:rFonts w:cstheme="minorHAnsi"/>
        </w:rPr>
        <w:t xml:space="preserve"> 2023</w:t>
      </w:r>
      <w:r w:rsidR="00DA0B9C" w:rsidRPr="007A5336">
        <w:rPr>
          <w:rFonts w:cstheme="minorHAnsi"/>
        </w:rPr>
        <w:t xml:space="preserve">.  Le projet est estimé à 8.6 millions d’euros. </w:t>
      </w:r>
      <w:r w:rsidR="003721E2" w:rsidRPr="007A5336">
        <w:rPr>
          <w:rFonts w:cstheme="minorHAnsi"/>
        </w:rPr>
        <w:t xml:space="preserve">Cette extension permettra à la société DPW </w:t>
      </w:r>
      <w:proofErr w:type="spellStart"/>
      <w:r w:rsidR="003721E2" w:rsidRPr="007A5336">
        <w:rPr>
          <w:rFonts w:cstheme="minorHAnsi"/>
        </w:rPr>
        <w:t>Liege</w:t>
      </w:r>
      <w:proofErr w:type="spellEnd"/>
      <w:r w:rsidR="003721E2" w:rsidRPr="007A5336">
        <w:rPr>
          <w:rFonts w:cstheme="minorHAnsi"/>
        </w:rPr>
        <w:t xml:space="preserve"> Container </w:t>
      </w:r>
      <w:proofErr w:type="spellStart"/>
      <w:r w:rsidR="003721E2" w:rsidRPr="007A5336">
        <w:rPr>
          <w:rFonts w:cstheme="minorHAnsi"/>
        </w:rPr>
        <w:t>Terminals</w:t>
      </w:r>
      <w:proofErr w:type="spellEnd"/>
      <w:r w:rsidR="003721E2" w:rsidRPr="007A5336">
        <w:rPr>
          <w:rFonts w:cstheme="minorHAnsi"/>
        </w:rPr>
        <w:t xml:space="preserve"> de répondre aux besoins de ses clients et d’accroître ses activités liées au transport de conteneurs. La superficie totale du terminal à conteneurs </w:t>
      </w:r>
      <w:r w:rsidR="000F2B8E" w:rsidRPr="007A5336">
        <w:rPr>
          <w:rFonts w:cstheme="minorHAnsi"/>
        </w:rPr>
        <w:t>sera</w:t>
      </w:r>
      <w:r w:rsidR="003721E2" w:rsidRPr="007A5336">
        <w:rPr>
          <w:rFonts w:cstheme="minorHAnsi"/>
        </w:rPr>
        <w:t xml:space="preserve"> de </w:t>
      </w:r>
      <w:r w:rsidR="0056119B">
        <w:rPr>
          <w:rFonts w:cstheme="minorHAnsi"/>
        </w:rPr>
        <w:br/>
      </w:r>
      <w:r w:rsidR="003721E2" w:rsidRPr="007A5336">
        <w:rPr>
          <w:rFonts w:cstheme="minorHAnsi"/>
        </w:rPr>
        <w:t xml:space="preserve">15 hectares. </w:t>
      </w:r>
      <w:r w:rsidR="00D83C4B" w:rsidRPr="007A5336">
        <w:rPr>
          <w:rFonts w:cstheme="minorHAnsi"/>
        </w:rPr>
        <w:t xml:space="preserve"> </w:t>
      </w:r>
      <w:r w:rsidR="003862A6" w:rsidRPr="007A5336">
        <w:rPr>
          <w:rFonts w:cstheme="minorHAnsi"/>
        </w:rPr>
        <w:t xml:space="preserve">   </w:t>
      </w:r>
    </w:p>
    <w:p w14:paraId="645A0D86" w14:textId="77777777" w:rsidR="007831A9" w:rsidRPr="002A1F35" w:rsidRDefault="007831A9" w:rsidP="0056119B">
      <w:pPr>
        <w:spacing w:after="0" w:line="240" w:lineRule="auto"/>
        <w:ind w:left="426" w:hanging="426"/>
        <w:jc w:val="both"/>
        <w:rPr>
          <w:lang w:val="fr-FR"/>
        </w:rPr>
      </w:pPr>
    </w:p>
    <w:p w14:paraId="3FC69E8B" w14:textId="5BF5B75E" w:rsidR="009F2508" w:rsidRPr="007A5336" w:rsidRDefault="009F2508" w:rsidP="0056119B">
      <w:pPr>
        <w:pStyle w:val="Paragraphedeliste"/>
        <w:numPr>
          <w:ilvl w:val="0"/>
          <w:numId w:val="8"/>
        </w:numPr>
        <w:spacing w:after="0" w:line="240" w:lineRule="auto"/>
        <w:ind w:left="426" w:hanging="426"/>
        <w:jc w:val="both"/>
        <w:rPr>
          <w:iCs/>
        </w:rPr>
      </w:pPr>
      <w:r w:rsidRPr="00C93BC2">
        <w:t>La</w:t>
      </w:r>
      <w:r w:rsidR="00C93BC2">
        <w:t xml:space="preserve"> </w:t>
      </w:r>
      <w:r w:rsidRPr="00C93BC2">
        <w:t>création</w:t>
      </w:r>
      <w:r w:rsidRPr="00C93BC2">
        <w:rPr>
          <w:iCs/>
        </w:rPr>
        <w:t xml:space="preserve"> d’une </w:t>
      </w:r>
      <w:r w:rsidRPr="00C93BC2">
        <w:rPr>
          <w:b/>
          <w:bCs/>
          <w:iCs/>
        </w:rPr>
        <w:t>nouvelle installation d’accostage sur la partie amont du port de Hermalle-sous-Huy</w:t>
      </w:r>
      <w:r w:rsidRPr="00C93BC2">
        <w:rPr>
          <w:iCs/>
        </w:rPr>
        <w:t> </w:t>
      </w:r>
      <w:r w:rsidR="00271EB0" w:rsidRPr="00C93BC2">
        <w:rPr>
          <w:iCs/>
        </w:rPr>
        <w:t xml:space="preserve">– ce projet est particulièrement important pour le </w:t>
      </w:r>
      <w:r w:rsidR="00271EB0" w:rsidRPr="007A5336">
        <w:rPr>
          <w:iCs/>
        </w:rPr>
        <w:t xml:space="preserve">développement portuaire puisqu’il met à la voie d’eau un terrain industriel de minimum 3 hectares appartenant à la SPI. </w:t>
      </w:r>
      <w:r w:rsidR="0046333A" w:rsidRPr="007A5336">
        <w:rPr>
          <w:iCs/>
        </w:rPr>
        <w:t xml:space="preserve">Ceci démontre la volonté du </w:t>
      </w:r>
      <w:r w:rsidR="00DB5593" w:rsidRPr="007A5336">
        <w:rPr>
          <w:iCs/>
        </w:rPr>
        <w:t>P</w:t>
      </w:r>
      <w:r w:rsidR="0046333A" w:rsidRPr="007A5336">
        <w:rPr>
          <w:iCs/>
        </w:rPr>
        <w:t xml:space="preserve">ort </w:t>
      </w:r>
      <w:r w:rsidR="00DB5593" w:rsidRPr="007A5336">
        <w:rPr>
          <w:iCs/>
        </w:rPr>
        <w:t xml:space="preserve">autonome de Liège </w:t>
      </w:r>
      <w:r w:rsidR="0046333A" w:rsidRPr="007A5336">
        <w:rPr>
          <w:iCs/>
        </w:rPr>
        <w:t>de valoriser</w:t>
      </w:r>
      <w:r w:rsidR="00DB5593" w:rsidRPr="007A5336">
        <w:rPr>
          <w:iCs/>
        </w:rPr>
        <w:t xml:space="preserve">, </w:t>
      </w:r>
      <w:r w:rsidR="005A01E6" w:rsidRPr="007A5336">
        <w:rPr>
          <w:iCs/>
        </w:rPr>
        <w:t xml:space="preserve">en étroite collaboration avec la SPI, les </w:t>
      </w:r>
      <w:r w:rsidR="0046333A" w:rsidRPr="007A5336">
        <w:rPr>
          <w:iCs/>
        </w:rPr>
        <w:t xml:space="preserve">terrains portuaires </w:t>
      </w:r>
      <w:r w:rsidR="005A01E6" w:rsidRPr="007A5336">
        <w:rPr>
          <w:iCs/>
        </w:rPr>
        <w:t xml:space="preserve">gérés par celle-ci. </w:t>
      </w:r>
    </w:p>
    <w:p w14:paraId="0BE113DE" w14:textId="77777777" w:rsidR="003721E2" w:rsidRDefault="003721E2" w:rsidP="0056119B">
      <w:pPr>
        <w:pStyle w:val="Paragraphedeliste"/>
        <w:spacing w:after="0" w:line="240" w:lineRule="auto"/>
        <w:ind w:left="426" w:hanging="426"/>
        <w:jc w:val="both"/>
        <w:rPr>
          <w:iCs/>
        </w:rPr>
      </w:pPr>
    </w:p>
    <w:p w14:paraId="138A22FD" w14:textId="761C5FE4" w:rsidR="00306CCD" w:rsidRDefault="009F2508" w:rsidP="0056119B">
      <w:pPr>
        <w:pStyle w:val="Paragraphedeliste"/>
        <w:numPr>
          <w:ilvl w:val="0"/>
          <w:numId w:val="8"/>
        </w:numPr>
        <w:spacing w:after="0" w:line="240" w:lineRule="auto"/>
        <w:ind w:left="426" w:hanging="426"/>
        <w:jc w:val="both"/>
        <w:rPr>
          <w:iCs/>
        </w:rPr>
      </w:pPr>
      <w:r w:rsidRPr="003721E2">
        <w:rPr>
          <w:b/>
          <w:bCs/>
          <w:iCs/>
        </w:rPr>
        <w:t xml:space="preserve">L’aménagement de la gare de triage au port de </w:t>
      </w:r>
      <w:proofErr w:type="spellStart"/>
      <w:r w:rsidRPr="003721E2">
        <w:rPr>
          <w:b/>
          <w:bCs/>
          <w:iCs/>
        </w:rPr>
        <w:t>Monsi</w:t>
      </w:r>
      <w:r w:rsidR="00306CCD" w:rsidRPr="003721E2">
        <w:rPr>
          <w:b/>
          <w:bCs/>
          <w:iCs/>
        </w:rPr>
        <w:t>n</w:t>
      </w:r>
      <w:proofErr w:type="spellEnd"/>
      <w:r w:rsidR="002D4EB1">
        <w:rPr>
          <w:iCs/>
        </w:rPr>
        <w:t xml:space="preserve"> permettant de renforcer les trafics ferroviaires. </w:t>
      </w:r>
    </w:p>
    <w:p w14:paraId="64F7DC9D" w14:textId="5A9B169F" w:rsidR="0046333A" w:rsidRPr="007A5336" w:rsidRDefault="0046333A" w:rsidP="0056119B">
      <w:pPr>
        <w:spacing w:after="0" w:line="240" w:lineRule="auto"/>
        <w:ind w:left="426"/>
        <w:jc w:val="both"/>
        <w:rPr>
          <w:iCs/>
        </w:rPr>
      </w:pPr>
      <w:r w:rsidRPr="007A5336">
        <w:rPr>
          <w:iCs/>
        </w:rPr>
        <w:t xml:space="preserve">Un report modal, vers le rail, est très important pour la croissance durable d’un port. Pour réaliser cette ambition, le Port autonome de Liège souligne les synergies développées avec </w:t>
      </w:r>
      <w:proofErr w:type="spellStart"/>
      <w:r w:rsidRPr="007A5336">
        <w:rPr>
          <w:iCs/>
        </w:rPr>
        <w:t>Infrabel</w:t>
      </w:r>
      <w:proofErr w:type="spellEnd"/>
      <w:r w:rsidRPr="007A5336">
        <w:rPr>
          <w:iCs/>
        </w:rPr>
        <w:t xml:space="preserve">, les parties prenantes ainsi que </w:t>
      </w:r>
      <w:r w:rsidR="00120326" w:rsidRPr="007A5336">
        <w:rPr>
          <w:iCs/>
        </w:rPr>
        <w:t>ses</w:t>
      </w:r>
      <w:r w:rsidRPr="007A5336">
        <w:rPr>
          <w:iCs/>
        </w:rPr>
        <w:t xml:space="preserve"> concessionnaires</w:t>
      </w:r>
      <w:r w:rsidR="002D4EB1" w:rsidRPr="007A5336">
        <w:rPr>
          <w:iCs/>
        </w:rPr>
        <w:t xml:space="preserve"> </w:t>
      </w:r>
      <w:r w:rsidRPr="007A5336">
        <w:rPr>
          <w:iCs/>
        </w:rPr>
        <w:t>portuaires</w:t>
      </w:r>
      <w:r w:rsidR="002D4EB1" w:rsidRPr="007A5336">
        <w:rPr>
          <w:iCs/>
        </w:rPr>
        <w:t xml:space="preserve"> pour la revalorisation du transport ferroviaire de marchandises dans le port. </w:t>
      </w:r>
    </w:p>
    <w:p w14:paraId="441F132B" w14:textId="772F42CB" w:rsidR="002D4EB1" w:rsidRPr="007A5336" w:rsidRDefault="002D4EB1" w:rsidP="00213A30">
      <w:pPr>
        <w:spacing w:after="0" w:line="240" w:lineRule="auto"/>
        <w:ind w:left="708"/>
        <w:jc w:val="both"/>
        <w:rPr>
          <w:iCs/>
        </w:rPr>
      </w:pPr>
    </w:p>
    <w:p w14:paraId="5881D35B" w14:textId="77777777" w:rsidR="0046333A" w:rsidRPr="0046333A" w:rsidRDefault="0046333A" w:rsidP="00213A30">
      <w:pPr>
        <w:spacing w:after="0" w:line="240" w:lineRule="auto"/>
        <w:jc w:val="both"/>
        <w:rPr>
          <w:iCs/>
        </w:rPr>
      </w:pPr>
    </w:p>
    <w:p w14:paraId="325BCC02" w14:textId="6DC7FFC7" w:rsidR="00464BB0" w:rsidRDefault="00464BB0" w:rsidP="00213A30">
      <w:pPr>
        <w:spacing w:after="0" w:line="240" w:lineRule="auto"/>
        <w:jc w:val="both"/>
      </w:pPr>
    </w:p>
    <w:p w14:paraId="2CAC6F6D" w14:textId="6E3B856E" w:rsidR="0056119B" w:rsidRDefault="0056119B" w:rsidP="00213A30">
      <w:pPr>
        <w:spacing w:after="0" w:line="240" w:lineRule="auto"/>
        <w:jc w:val="both"/>
      </w:pPr>
    </w:p>
    <w:p w14:paraId="7B37753E" w14:textId="1999CA61" w:rsidR="0056119B" w:rsidRDefault="0056119B" w:rsidP="00213A30">
      <w:pPr>
        <w:spacing w:after="0" w:line="240" w:lineRule="auto"/>
        <w:jc w:val="both"/>
      </w:pPr>
    </w:p>
    <w:p w14:paraId="3BF5B2A5" w14:textId="5BD341C0" w:rsidR="0056119B" w:rsidRDefault="0056119B" w:rsidP="00213A30">
      <w:pPr>
        <w:spacing w:after="0" w:line="240" w:lineRule="auto"/>
        <w:jc w:val="both"/>
      </w:pPr>
    </w:p>
    <w:p w14:paraId="528E4C79" w14:textId="77777777" w:rsidR="0056119B" w:rsidRPr="00CE5762" w:rsidRDefault="0056119B" w:rsidP="00213A30">
      <w:pPr>
        <w:spacing w:after="0" w:line="240" w:lineRule="auto"/>
        <w:jc w:val="both"/>
      </w:pPr>
    </w:p>
    <w:p w14:paraId="06AE3801" w14:textId="77777777" w:rsidR="006B341B" w:rsidRPr="00CE5762" w:rsidRDefault="006B341B" w:rsidP="00213A30">
      <w:pPr>
        <w:pBdr>
          <w:top w:val="single" w:sz="4" w:space="1" w:color="auto"/>
        </w:pBdr>
        <w:spacing w:after="0" w:line="240" w:lineRule="auto"/>
        <w:rPr>
          <w:rFonts w:eastAsia="Times New Roman" w:cs="Arial"/>
          <w:b/>
          <w:sz w:val="18"/>
          <w:szCs w:val="18"/>
          <w:lang w:val="fr-FR" w:eastAsia="fr-FR"/>
        </w:rPr>
      </w:pPr>
      <w:r w:rsidRPr="00CE5762">
        <w:rPr>
          <w:rFonts w:eastAsia="Times New Roman" w:cs="Arial"/>
          <w:b/>
          <w:sz w:val="18"/>
          <w:szCs w:val="18"/>
          <w:lang w:val="fr-FR" w:eastAsia="fr-FR"/>
        </w:rPr>
        <w:t>Contact presse</w:t>
      </w:r>
    </w:p>
    <w:p w14:paraId="4466E134" w14:textId="77777777" w:rsidR="0056119B" w:rsidRDefault="006B341B" w:rsidP="00213A30">
      <w:pPr>
        <w:spacing w:after="0" w:line="240" w:lineRule="auto"/>
        <w:rPr>
          <w:rFonts w:eastAsia="Times New Roman" w:cs="Arial"/>
          <w:sz w:val="18"/>
          <w:szCs w:val="18"/>
          <w:lang w:val="fr-FR" w:eastAsia="fr-FR"/>
        </w:rPr>
      </w:pPr>
      <w:r w:rsidRPr="00CE5762">
        <w:rPr>
          <w:rFonts w:eastAsia="Times New Roman" w:cs="Arial"/>
          <w:sz w:val="18"/>
          <w:szCs w:val="18"/>
          <w:lang w:val="fr-FR" w:eastAsia="fr-FR"/>
        </w:rPr>
        <w:t>Hélène Thiébaut, Attachée – Communication</w:t>
      </w:r>
    </w:p>
    <w:p w14:paraId="6278169C" w14:textId="77777777" w:rsidR="0056119B" w:rsidRDefault="006B341B" w:rsidP="00213A30">
      <w:pPr>
        <w:spacing w:after="0" w:line="240" w:lineRule="auto"/>
        <w:rPr>
          <w:rFonts w:eastAsia="Times New Roman" w:cs="Arial"/>
          <w:sz w:val="18"/>
          <w:szCs w:val="18"/>
          <w:lang w:val="fr-FR" w:eastAsia="fr-FR"/>
        </w:rPr>
      </w:pPr>
      <w:r w:rsidRPr="00CE5762">
        <w:rPr>
          <w:rFonts w:eastAsia="Times New Roman" w:cs="Arial"/>
          <w:sz w:val="18"/>
          <w:szCs w:val="18"/>
          <w:lang w:val="fr-FR" w:eastAsia="fr-FR"/>
        </w:rPr>
        <w:t xml:space="preserve">Port autonome de Liège, quai de </w:t>
      </w:r>
      <w:proofErr w:type="spellStart"/>
      <w:r w:rsidRPr="00CE5762">
        <w:rPr>
          <w:rFonts w:eastAsia="Times New Roman" w:cs="Arial"/>
          <w:sz w:val="18"/>
          <w:szCs w:val="18"/>
          <w:lang w:val="fr-FR" w:eastAsia="fr-FR"/>
        </w:rPr>
        <w:t>Maestricht</w:t>
      </w:r>
      <w:proofErr w:type="spellEnd"/>
      <w:r w:rsidRPr="00CE5762">
        <w:rPr>
          <w:rFonts w:eastAsia="Times New Roman" w:cs="Arial"/>
          <w:sz w:val="18"/>
          <w:szCs w:val="18"/>
          <w:lang w:val="fr-FR" w:eastAsia="fr-FR"/>
        </w:rPr>
        <w:t xml:space="preserve"> 14 B - 4000 Liège  </w:t>
      </w:r>
      <w:r w:rsidRPr="00CE5762">
        <w:rPr>
          <w:rFonts w:eastAsia="Times New Roman" w:cs="Arial"/>
          <w:sz w:val="18"/>
          <w:szCs w:val="18"/>
          <w:lang w:val="fr-FR" w:eastAsia="fr-FR"/>
        </w:rPr>
        <w:br/>
      </w:r>
      <w:proofErr w:type="gramStart"/>
      <w:r w:rsidRPr="00CE5762">
        <w:rPr>
          <w:rFonts w:eastAsia="Times New Roman" w:cs="Arial"/>
          <w:sz w:val="18"/>
          <w:szCs w:val="18"/>
          <w:lang w:val="fr-FR" w:eastAsia="fr-FR"/>
        </w:rPr>
        <w:t>TEL:</w:t>
      </w:r>
      <w:proofErr w:type="gramEnd"/>
      <w:r w:rsidRPr="00CE5762">
        <w:rPr>
          <w:rFonts w:eastAsia="Times New Roman" w:cs="Arial"/>
          <w:sz w:val="18"/>
          <w:szCs w:val="18"/>
          <w:lang w:val="fr-FR" w:eastAsia="fr-FR"/>
        </w:rPr>
        <w:t xml:space="preserve"> + 32 </w:t>
      </w:r>
      <w:r>
        <w:rPr>
          <w:rFonts w:eastAsia="Times New Roman" w:cs="Arial"/>
          <w:sz w:val="18"/>
          <w:szCs w:val="18"/>
          <w:lang w:val="fr-FR" w:eastAsia="fr-FR"/>
        </w:rPr>
        <w:t>475 59 63 06</w:t>
      </w:r>
    </w:p>
    <w:p w14:paraId="3A5762EE" w14:textId="77777777" w:rsidR="0056119B" w:rsidRDefault="00D3448A" w:rsidP="00213A30">
      <w:pPr>
        <w:spacing w:after="0" w:line="240" w:lineRule="auto"/>
        <w:rPr>
          <w:rFonts w:eastAsia="Times New Roman" w:cs="Arial"/>
          <w:sz w:val="18"/>
          <w:szCs w:val="18"/>
          <w:lang w:val="fr-FR" w:eastAsia="fr-FR"/>
        </w:rPr>
      </w:pPr>
      <w:hyperlink r:id="rId9" w:history="1">
        <w:r w:rsidR="0056119B" w:rsidRPr="0065569A">
          <w:rPr>
            <w:rStyle w:val="Lienhypertexte"/>
            <w:rFonts w:eastAsia="Times New Roman"/>
            <w:sz w:val="18"/>
            <w:szCs w:val="18"/>
            <w:lang w:val="fr-FR" w:eastAsia="fr-FR"/>
          </w:rPr>
          <w:t>h.thiebaut@portdeliege.be</w:t>
        </w:r>
      </w:hyperlink>
    </w:p>
    <w:p w14:paraId="64A73895" w14:textId="5930A5D9" w:rsidR="006B341B" w:rsidRPr="00464BB0" w:rsidRDefault="006B341B" w:rsidP="00213A30">
      <w:pPr>
        <w:spacing w:after="0" w:line="240" w:lineRule="auto"/>
        <w:rPr>
          <w:rFonts w:eastAsia="Times New Roman" w:cs="Arial"/>
          <w:sz w:val="18"/>
          <w:szCs w:val="18"/>
          <w:lang w:val="fr-FR" w:eastAsia="fr-FR"/>
        </w:rPr>
      </w:pPr>
      <w:r w:rsidRPr="00CE5762">
        <w:rPr>
          <w:rFonts w:eastAsia="Times New Roman" w:cs="Arial"/>
          <w:sz w:val="18"/>
          <w:szCs w:val="18"/>
          <w:lang w:val="fr-FR" w:eastAsia="fr-FR"/>
        </w:rPr>
        <w:t>www.portdeliege.be</w:t>
      </w:r>
    </w:p>
    <w:sectPr w:rsidR="006B341B" w:rsidRPr="00464BB0" w:rsidSect="006B7EFE">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46E65" w14:textId="77777777" w:rsidR="003755D4" w:rsidRDefault="003755D4" w:rsidP="00FE0414">
      <w:pPr>
        <w:spacing w:after="0" w:line="240" w:lineRule="auto"/>
      </w:pPr>
      <w:r>
        <w:separator/>
      </w:r>
    </w:p>
  </w:endnote>
  <w:endnote w:type="continuationSeparator" w:id="0">
    <w:p w14:paraId="0E6BCA26" w14:textId="77777777" w:rsidR="003755D4" w:rsidRDefault="003755D4" w:rsidP="00FE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327806"/>
      <w:docPartObj>
        <w:docPartGallery w:val="Page Numbers (Bottom of Page)"/>
        <w:docPartUnique/>
      </w:docPartObj>
    </w:sdtPr>
    <w:sdtEndPr/>
    <w:sdtContent>
      <w:p w14:paraId="350017EF" w14:textId="77777777" w:rsidR="005827A0" w:rsidRDefault="005827A0">
        <w:pPr>
          <w:pStyle w:val="Pieddepage"/>
          <w:jc w:val="right"/>
        </w:pPr>
        <w:r>
          <w:fldChar w:fldCharType="begin"/>
        </w:r>
        <w:r>
          <w:instrText>PAGE   \* MERGEFORMAT</w:instrText>
        </w:r>
        <w:r>
          <w:fldChar w:fldCharType="separate"/>
        </w:r>
        <w:r w:rsidR="001767C1" w:rsidRPr="001767C1">
          <w:rPr>
            <w:noProof/>
            <w:lang w:val="fr-FR"/>
          </w:rPr>
          <w:t>4</w:t>
        </w:r>
        <w:r>
          <w:fldChar w:fldCharType="end"/>
        </w:r>
      </w:p>
    </w:sdtContent>
  </w:sdt>
  <w:p w14:paraId="5FA30224" w14:textId="77777777" w:rsidR="00FE0414" w:rsidRDefault="00FE04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60283" w14:textId="77777777" w:rsidR="003755D4" w:rsidRDefault="003755D4" w:rsidP="00FE0414">
      <w:pPr>
        <w:spacing w:after="0" w:line="240" w:lineRule="auto"/>
      </w:pPr>
      <w:r>
        <w:separator/>
      </w:r>
    </w:p>
  </w:footnote>
  <w:footnote w:type="continuationSeparator" w:id="0">
    <w:p w14:paraId="14EB107E" w14:textId="77777777" w:rsidR="003755D4" w:rsidRDefault="003755D4" w:rsidP="00FE0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81C9A"/>
    <w:multiLevelType w:val="hybridMultilevel"/>
    <w:tmpl w:val="9F760BA6"/>
    <w:lvl w:ilvl="0" w:tplc="1B76F3FC">
      <w:start w:val="1"/>
      <w:numFmt w:val="decimal"/>
      <w:lvlText w:val="%1."/>
      <w:lvlJc w:val="left"/>
      <w:pPr>
        <w:ind w:left="786" w:hanging="360"/>
      </w:pPr>
      <w:rPr>
        <w:rFonts w:hint="default"/>
        <w:b/>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14BC1AD3"/>
    <w:multiLevelType w:val="hybridMultilevel"/>
    <w:tmpl w:val="DEEECEB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5D6574A"/>
    <w:multiLevelType w:val="multilevel"/>
    <w:tmpl w:val="40461756"/>
    <w:lvl w:ilvl="0">
      <w:start w:val="2"/>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 w15:restartNumberingAfterBreak="0">
    <w:nsid w:val="1FC343DB"/>
    <w:multiLevelType w:val="hybridMultilevel"/>
    <w:tmpl w:val="CB0C219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096402C"/>
    <w:multiLevelType w:val="multilevel"/>
    <w:tmpl w:val="5260AF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61118B"/>
    <w:multiLevelType w:val="hybridMultilevel"/>
    <w:tmpl w:val="1CA41666"/>
    <w:lvl w:ilvl="0" w:tplc="AE904FA8">
      <w:start w:val="1"/>
      <w:numFmt w:val="decimal"/>
      <w:lvlText w:val="%1."/>
      <w:lvlJc w:val="left"/>
      <w:pPr>
        <w:ind w:left="4042" w:hanging="360"/>
      </w:pPr>
      <w:rPr>
        <w:rFonts w:hint="default"/>
        <w:b/>
        <w:bCs w:val="0"/>
      </w:rPr>
    </w:lvl>
    <w:lvl w:ilvl="1" w:tplc="080C0019" w:tentative="1">
      <w:start w:val="1"/>
      <w:numFmt w:val="lowerLetter"/>
      <w:lvlText w:val="%2."/>
      <w:lvlJc w:val="left"/>
      <w:pPr>
        <w:ind w:left="4762" w:hanging="360"/>
      </w:pPr>
    </w:lvl>
    <w:lvl w:ilvl="2" w:tplc="080C001B" w:tentative="1">
      <w:start w:val="1"/>
      <w:numFmt w:val="lowerRoman"/>
      <w:lvlText w:val="%3."/>
      <w:lvlJc w:val="right"/>
      <w:pPr>
        <w:ind w:left="5482" w:hanging="180"/>
      </w:pPr>
    </w:lvl>
    <w:lvl w:ilvl="3" w:tplc="080C000F" w:tentative="1">
      <w:start w:val="1"/>
      <w:numFmt w:val="decimal"/>
      <w:lvlText w:val="%4."/>
      <w:lvlJc w:val="left"/>
      <w:pPr>
        <w:ind w:left="6202" w:hanging="360"/>
      </w:pPr>
    </w:lvl>
    <w:lvl w:ilvl="4" w:tplc="080C0019" w:tentative="1">
      <w:start w:val="1"/>
      <w:numFmt w:val="lowerLetter"/>
      <w:lvlText w:val="%5."/>
      <w:lvlJc w:val="left"/>
      <w:pPr>
        <w:ind w:left="6922" w:hanging="360"/>
      </w:pPr>
    </w:lvl>
    <w:lvl w:ilvl="5" w:tplc="080C001B" w:tentative="1">
      <w:start w:val="1"/>
      <w:numFmt w:val="lowerRoman"/>
      <w:lvlText w:val="%6."/>
      <w:lvlJc w:val="right"/>
      <w:pPr>
        <w:ind w:left="7642" w:hanging="180"/>
      </w:pPr>
    </w:lvl>
    <w:lvl w:ilvl="6" w:tplc="080C000F" w:tentative="1">
      <w:start w:val="1"/>
      <w:numFmt w:val="decimal"/>
      <w:lvlText w:val="%7."/>
      <w:lvlJc w:val="left"/>
      <w:pPr>
        <w:ind w:left="8362" w:hanging="360"/>
      </w:pPr>
    </w:lvl>
    <w:lvl w:ilvl="7" w:tplc="080C0019" w:tentative="1">
      <w:start w:val="1"/>
      <w:numFmt w:val="lowerLetter"/>
      <w:lvlText w:val="%8."/>
      <w:lvlJc w:val="left"/>
      <w:pPr>
        <w:ind w:left="9082" w:hanging="360"/>
      </w:pPr>
    </w:lvl>
    <w:lvl w:ilvl="8" w:tplc="080C001B" w:tentative="1">
      <w:start w:val="1"/>
      <w:numFmt w:val="lowerRoman"/>
      <w:lvlText w:val="%9."/>
      <w:lvlJc w:val="right"/>
      <w:pPr>
        <w:ind w:left="9802" w:hanging="180"/>
      </w:pPr>
    </w:lvl>
  </w:abstractNum>
  <w:abstractNum w:abstractNumId="6" w15:restartNumberingAfterBreak="0">
    <w:nsid w:val="2A1A637C"/>
    <w:multiLevelType w:val="multilevel"/>
    <w:tmpl w:val="AFBAF2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F7006E"/>
    <w:multiLevelType w:val="multilevel"/>
    <w:tmpl w:val="56F21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55908"/>
    <w:multiLevelType w:val="hybridMultilevel"/>
    <w:tmpl w:val="90101EA8"/>
    <w:lvl w:ilvl="0" w:tplc="2FAC2BEE">
      <w:start w:val="1"/>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D0A6D41"/>
    <w:multiLevelType w:val="hybridMultilevel"/>
    <w:tmpl w:val="DD769536"/>
    <w:lvl w:ilvl="0" w:tplc="18F26A9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05F437C"/>
    <w:multiLevelType w:val="hybridMultilevel"/>
    <w:tmpl w:val="CFB8523C"/>
    <w:lvl w:ilvl="0" w:tplc="3A2400C4">
      <w:start w:val="13"/>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439B5397"/>
    <w:multiLevelType w:val="hybridMultilevel"/>
    <w:tmpl w:val="866A16DC"/>
    <w:lvl w:ilvl="0" w:tplc="B36A8E32">
      <w:start w:val="2"/>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2" w15:restartNumberingAfterBreak="0">
    <w:nsid w:val="5C963639"/>
    <w:multiLevelType w:val="hybridMultilevel"/>
    <w:tmpl w:val="F2BE1E3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7EA3BD7"/>
    <w:multiLevelType w:val="hybridMultilevel"/>
    <w:tmpl w:val="D0969126"/>
    <w:lvl w:ilvl="0" w:tplc="6AA82DCA">
      <w:numFmt w:val="bullet"/>
      <w:lvlText w:val=""/>
      <w:lvlJc w:val="left"/>
      <w:pPr>
        <w:ind w:left="720" w:hanging="360"/>
      </w:pPr>
      <w:rPr>
        <w:rFonts w:ascii="Symbol" w:eastAsiaTheme="minorHAnsi" w:hAnsi="Symbol" w:hint="default"/>
        <w:color w:val="159BD7"/>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77280B62"/>
    <w:multiLevelType w:val="hybridMultilevel"/>
    <w:tmpl w:val="5C92D61E"/>
    <w:lvl w:ilvl="0" w:tplc="BD18D97E">
      <w:start w:val="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77A4A34"/>
    <w:multiLevelType w:val="hybridMultilevel"/>
    <w:tmpl w:val="925AFB7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C3B2B71"/>
    <w:multiLevelType w:val="hybridMultilevel"/>
    <w:tmpl w:val="82AA3040"/>
    <w:lvl w:ilvl="0" w:tplc="6AA82DCA">
      <w:numFmt w:val="bullet"/>
      <w:lvlText w:val=""/>
      <w:lvlJc w:val="left"/>
      <w:pPr>
        <w:ind w:left="720" w:hanging="360"/>
      </w:pPr>
      <w:rPr>
        <w:rFonts w:ascii="Symbol" w:eastAsiaTheme="minorHAnsi" w:hAnsi="Symbol" w:hint="default"/>
        <w:color w:val="159BD7"/>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9"/>
  </w:num>
  <w:num w:numId="5">
    <w:abstractNumId w:val="16"/>
  </w:num>
  <w:num w:numId="6">
    <w:abstractNumId w:val="13"/>
  </w:num>
  <w:num w:numId="7">
    <w:abstractNumId w:val="14"/>
  </w:num>
  <w:num w:numId="8">
    <w:abstractNumId w:val="0"/>
  </w:num>
  <w:num w:numId="9">
    <w:abstractNumId w:val="11"/>
  </w:num>
  <w:num w:numId="10">
    <w:abstractNumId w:val="7"/>
  </w:num>
  <w:num w:numId="11">
    <w:abstractNumId w:val="10"/>
  </w:num>
  <w:num w:numId="12">
    <w:abstractNumId w:val="12"/>
  </w:num>
  <w:num w:numId="13">
    <w:abstractNumId w:val="1"/>
  </w:num>
  <w:num w:numId="14">
    <w:abstractNumId w:val="3"/>
  </w:num>
  <w:num w:numId="15">
    <w:abstractNumId w:val="1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519"/>
    <w:rsid w:val="000009FD"/>
    <w:rsid w:val="000109D0"/>
    <w:rsid w:val="000250BD"/>
    <w:rsid w:val="0003350D"/>
    <w:rsid w:val="00033A52"/>
    <w:rsid w:val="00033D0E"/>
    <w:rsid w:val="000350D6"/>
    <w:rsid w:val="0003597E"/>
    <w:rsid w:val="00045C17"/>
    <w:rsid w:val="0005133C"/>
    <w:rsid w:val="00053891"/>
    <w:rsid w:val="000557CE"/>
    <w:rsid w:val="00062956"/>
    <w:rsid w:val="00080448"/>
    <w:rsid w:val="00086CBF"/>
    <w:rsid w:val="00090877"/>
    <w:rsid w:val="00096DE1"/>
    <w:rsid w:val="000A1717"/>
    <w:rsid w:val="000A1AD8"/>
    <w:rsid w:val="000A31AB"/>
    <w:rsid w:val="000A6B90"/>
    <w:rsid w:val="000A7214"/>
    <w:rsid w:val="000C29C2"/>
    <w:rsid w:val="000C4F5C"/>
    <w:rsid w:val="000C6F06"/>
    <w:rsid w:val="000E3119"/>
    <w:rsid w:val="000E6BEB"/>
    <w:rsid w:val="000F0979"/>
    <w:rsid w:val="000F17FC"/>
    <w:rsid w:val="000F2B8E"/>
    <w:rsid w:val="0011256C"/>
    <w:rsid w:val="0011574D"/>
    <w:rsid w:val="00120326"/>
    <w:rsid w:val="00125CAC"/>
    <w:rsid w:val="00133037"/>
    <w:rsid w:val="0014167A"/>
    <w:rsid w:val="0014530C"/>
    <w:rsid w:val="001511A3"/>
    <w:rsid w:val="0015461E"/>
    <w:rsid w:val="001704C4"/>
    <w:rsid w:val="001767C1"/>
    <w:rsid w:val="00181FC6"/>
    <w:rsid w:val="0018362D"/>
    <w:rsid w:val="00184DA5"/>
    <w:rsid w:val="001851A6"/>
    <w:rsid w:val="001940AA"/>
    <w:rsid w:val="0019577D"/>
    <w:rsid w:val="001A0ABB"/>
    <w:rsid w:val="001A198F"/>
    <w:rsid w:val="001A1F40"/>
    <w:rsid w:val="001B0E3D"/>
    <w:rsid w:val="001B0E93"/>
    <w:rsid w:val="001B1240"/>
    <w:rsid w:val="001C0EFA"/>
    <w:rsid w:val="001D351C"/>
    <w:rsid w:val="001D68DF"/>
    <w:rsid w:val="001E6AEB"/>
    <w:rsid w:val="001F18CC"/>
    <w:rsid w:val="001F49D0"/>
    <w:rsid w:val="001F69E5"/>
    <w:rsid w:val="00200F39"/>
    <w:rsid w:val="002011C4"/>
    <w:rsid w:val="00201637"/>
    <w:rsid w:val="0020687D"/>
    <w:rsid w:val="0020794F"/>
    <w:rsid w:val="00213A30"/>
    <w:rsid w:val="00224455"/>
    <w:rsid w:val="00224A6B"/>
    <w:rsid w:val="00226910"/>
    <w:rsid w:val="002314DC"/>
    <w:rsid w:val="00233468"/>
    <w:rsid w:val="002632FC"/>
    <w:rsid w:val="00271EB0"/>
    <w:rsid w:val="002765BB"/>
    <w:rsid w:val="0028377E"/>
    <w:rsid w:val="00284606"/>
    <w:rsid w:val="002913F1"/>
    <w:rsid w:val="00293B8A"/>
    <w:rsid w:val="002944E8"/>
    <w:rsid w:val="002A0D23"/>
    <w:rsid w:val="002A1F35"/>
    <w:rsid w:val="002A229F"/>
    <w:rsid w:val="002C1A15"/>
    <w:rsid w:val="002D1856"/>
    <w:rsid w:val="002D3564"/>
    <w:rsid w:val="002D4EB1"/>
    <w:rsid w:val="002D62AA"/>
    <w:rsid w:val="002E3D6F"/>
    <w:rsid w:val="002E562C"/>
    <w:rsid w:val="002E5E2A"/>
    <w:rsid w:val="002E7987"/>
    <w:rsid w:val="002E7BC1"/>
    <w:rsid w:val="002F2864"/>
    <w:rsid w:val="002F3E70"/>
    <w:rsid w:val="002F5859"/>
    <w:rsid w:val="00300002"/>
    <w:rsid w:val="00302B7B"/>
    <w:rsid w:val="00302E0F"/>
    <w:rsid w:val="00306CCD"/>
    <w:rsid w:val="00310E93"/>
    <w:rsid w:val="00312600"/>
    <w:rsid w:val="003166CB"/>
    <w:rsid w:val="00332832"/>
    <w:rsid w:val="00336660"/>
    <w:rsid w:val="003369CC"/>
    <w:rsid w:val="00337028"/>
    <w:rsid w:val="00342FEB"/>
    <w:rsid w:val="00354794"/>
    <w:rsid w:val="00355E07"/>
    <w:rsid w:val="00357310"/>
    <w:rsid w:val="00360D0C"/>
    <w:rsid w:val="00360D4C"/>
    <w:rsid w:val="0036360B"/>
    <w:rsid w:val="00363C3E"/>
    <w:rsid w:val="00370302"/>
    <w:rsid w:val="003721E2"/>
    <w:rsid w:val="0037282E"/>
    <w:rsid w:val="003755D4"/>
    <w:rsid w:val="00380FF6"/>
    <w:rsid w:val="00382395"/>
    <w:rsid w:val="003862A6"/>
    <w:rsid w:val="00393B77"/>
    <w:rsid w:val="00396D90"/>
    <w:rsid w:val="00397AF3"/>
    <w:rsid w:val="003A3FF8"/>
    <w:rsid w:val="003A4329"/>
    <w:rsid w:val="003A4868"/>
    <w:rsid w:val="003A5FD0"/>
    <w:rsid w:val="003A75EC"/>
    <w:rsid w:val="003B3746"/>
    <w:rsid w:val="003B5DEE"/>
    <w:rsid w:val="003D5075"/>
    <w:rsid w:val="003E2613"/>
    <w:rsid w:val="003E433B"/>
    <w:rsid w:val="003E672D"/>
    <w:rsid w:val="003E6B51"/>
    <w:rsid w:val="003E6BB7"/>
    <w:rsid w:val="004031CA"/>
    <w:rsid w:val="004061A5"/>
    <w:rsid w:val="00407542"/>
    <w:rsid w:val="00412726"/>
    <w:rsid w:val="00421E1E"/>
    <w:rsid w:val="00423D60"/>
    <w:rsid w:val="004279ED"/>
    <w:rsid w:val="0043345F"/>
    <w:rsid w:val="00434959"/>
    <w:rsid w:val="00435031"/>
    <w:rsid w:val="00445B7A"/>
    <w:rsid w:val="00447AB9"/>
    <w:rsid w:val="00451A35"/>
    <w:rsid w:val="0045420A"/>
    <w:rsid w:val="00460DD3"/>
    <w:rsid w:val="0046333A"/>
    <w:rsid w:val="00464BB0"/>
    <w:rsid w:val="00464C93"/>
    <w:rsid w:val="00467F8C"/>
    <w:rsid w:val="00480031"/>
    <w:rsid w:val="004925D8"/>
    <w:rsid w:val="0049626E"/>
    <w:rsid w:val="004A03B5"/>
    <w:rsid w:val="004C14D7"/>
    <w:rsid w:val="004C270E"/>
    <w:rsid w:val="004C56F1"/>
    <w:rsid w:val="004C7BD0"/>
    <w:rsid w:val="004C7F10"/>
    <w:rsid w:val="004E6554"/>
    <w:rsid w:val="004E6CC5"/>
    <w:rsid w:val="004E71E6"/>
    <w:rsid w:val="004F5A64"/>
    <w:rsid w:val="00500E63"/>
    <w:rsid w:val="005011FF"/>
    <w:rsid w:val="00514D78"/>
    <w:rsid w:val="00515986"/>
    <w:rsid w:val="00526414"/>
    <w:rsid w:val="00526623"/>
    <w:rsid w:val="00540651"/>
    <w:rsid w:val="00540F2C"/>
    <w:rsid w:val="0054137A"/>
    <w:rsid w:val="00547C48"/>
    <w:rsid w:val="005548F9"/>
    <w:rsid w:val="005557C5"/>
    <w:rsid w:val="0056119B"/>
    <w:rsid w:val="00564BD5"/>
    <w:rsid w:val="00572FFE"/>
    <w:rsid w:val="0057644E"/>
    <w:rsid w:val="005827A0"/>
    <w:rsid w:val="00585A95"/>
    <w:rsid w:val="00587830"/>
    <w:rsid w:val="005A01E6"/>
    <w:rsid w:val="005A0B2A"/>
    <w:rsid w:val="005A1B7C"/>
    <w:rsid w:val="005A24BC"/>
    <w:rsid w:val="005D08C2"/>
    <w:rsid w:val="005D370B"/>
    <w:rsid w:val="005D513A"/>
    <w:rsid w:val="005E0DC5"/>
    <w:rsid w:val="005E2E05"/>
    <w:rsid w:val="005E5894"/>
    <w:rsid w:val="005E59D8"/>
    <w:rsid w:val="005F2376"/>
    <w:rsid w:val="005F35E6"/>
    <w:rsid w:val="005F6259"/>
    <w:rsid w:val="006002C8"/>
    <w:rsid w:val="006007FA"/>
    <w:rsid w:val="00602740"/>
    <w:rsid w:val="00604F16"/>
    <w:rsid w:val="00622FCA"/>
    <w:rsid w:val="00623F48"/>
    <w:rsid w:val="00630280"/>
    <w:rsid w:val="0064620F"/>
    <w:rsid w:val="006479F0"/>
    <w:rsid w:val="00650B0E"/>
    <w:rsid w:val="00664B3A"/>
    <w:rsid w:val="00673EA9"/>
    <w:rsid w:val="00674DA8"/>
    <w:rsid w:val="006759E2"/>
    <w:rsid w:val="006816BE"/>
    <w:rsid w:val="00692251"/>
    <w:rsid w:val="006A06D7"/>
    <w:rsid w:val="006A6153"/>
    <w:rsid w:val="006A6512"/>
    <w:rsid w:val="006B341B"/>
    <w:rsid w:val="006B49AC"/>
    <w:rsid w:val="006B7EFE"/>
    <w:rsid w:val="006C02FF"/>
    <w:rsid w:val="006C3897"/>
    <w:rsid w:val="006C5624"/>
    <w:rsid w:val="006E1230"/>
    <w:rsid w:val="006E189E"/>
    <w:rsid w:val="006E71CC"/>
    <w:rsid w:val="007018ED"/>
    <w:rsid w:val="007058F0"/>
    <w:rsid w:val="00707F72"/>
    <w:rsid w:val="00714AE8"/>
    <w:rsid w:val="0071557D"/>
    <w:rsid w:val="007230F1"/>
    <w:rsid w:val="0072663F"/>
    <w:rsid w:val="00733EF2"/>
    <w:rsid w:val="00737E02"/>
    <w:rsid w:val="00760442"/>
    <w:rsid w:val="00762A77"/>
    <w:rsid w:val="0077043B"/>
    <w:rsid w:val="00774B54"/>
    <w:rsid w:val="00776639"/>
    <w:rsid w:val="00781CA4"/>
    <w:rsid w:val="007831A9"/>
    <w:rsid w:val="007904B4"/>
    <w:rsid w:val="007961DF"/>
    <w:rsid w:val="007A5336"/>
    <w:rsid w:val="007C6D19"/>
    <w:rsid w:val="007D70AA"/>
    <w:rsid w:val="007F0BF6"/>
    <w:rsid w:val="007F3478"/>
    <w:rsid w:val="00801ED7"/>
    <w:rsid w:val="008074B1"/>
    <w:rsid w:val="00807EED"/>
    <w:rsid w:val="008204D5"/>
    <w:rsid w:val="00827054"/>
    <w:rsid w:val="00833505"/>
    <w:rsid w:val="00835B48"/>
    <w:rsid w:val="00851853"/>
    <w:rsid w:val="00855B18"/>
    <w:rsid w:val="008568AE"/>
    <w:rsid w:val="00860BD1"/>
    <w:rsid w:val="00872FBC"/>
    <w:rsid w:val="00873503"/>
    <w:rsid w:val="008755BE"/>
    <w:rsid w:val="008767B6"/>
    <w:rsid w:val="00883737"/>
    <w:rsid w:val="00884A6F"/>
    <w:rsid w:val="00887966"/>
    <w:rsid w:val="008C03C2"/>
    <w:rsid w:val="008D06C6"/>
    <w:rsid w:val="008D0BCD"/>
    <w:rsid w:val="009034D1"/>
    <w:rsid w:val="009070A9"/>
    <w:rsid w:val="0091232A"/>
    <w:rsid w:val="00916379"/>
    <w:rsid w:val="0092042F"/>
    <w:rsid w:val="009256A0"/>
    <w:rsid w:val="00927332"/>
    <w:rsid w:val="009309E9"/>
    <w:rsid w:val="00935E76"/>
    <w:rsid w:val="0093712F"/>
    <w:rsid w:val="009443A6"/>
    <w:rsid w:val="00944889"/>
    <w:rsid w:val="00947660"/>
    <w:rsid w:val="009506BA"/>
    <w:rsid w:val="00953541"/>
    <w:rsid w:val="0095445F"/>
    <w:rsid w:val="00957C6D"/>
    <w:rsid w:val="009765F8"/>
    <w:rsid w:val="0097730E"/>
    <w:rsid w:val="00977653"/>
    <w:rsid w:val="0098436B"/>
    <w:rsid w:val="009A4519"/>
    <w:rsid w:val="009B023C"/>
    <w:rsid w:val="009B334B"/>
    <w:rsid w:val="009B7B72"/>
    <w:rsid w:val="009C56A4"/>
    <w:rsid w:val="009C7888"/>
    <w:rsid w:val="009D181E"/>
    <w:rsid w:val="009D7055"/>
    <w:rsid w:val="009E34B4"/>
    <w:rsid w:val="009E448A"/>
    <w:rsid w:val="009F20BD"/>
    <w:rsid w:val="009F2508"/>
    <w:rsid w:val="009F6386"/>
    <w:rsid w:val="00A04807"/>
    <w:rsid w:val="00A0519D"/>
    <w:rsid w:val="00A16AB0"/>
    <w:rsid w:val="00A20666"/>
    <w:rsid w:val="00A21844"/>
    <w:rsid w:val="00A375AA"/>
    <w:rsid w:val="00A379E9"/>
    <w:rsid w:val="00A4012B"/>
    <w:rsid w:val="00A549A8"/>
    <w:rsid w:val="00A56004"/>
    <w:rsid w:val="00A56E76"/>
    <w:rsid w:val="00A63A66"/>
    <w:rsid w:val="00A644D6"/>
    <w:rsid w:val="00A64CB3"/>
    <w:rsid w:val="00A6697A"/>
    <w:rsid w:val="00A7074C"/>
    <w:rsid w:val="00A71655"/>
    <w:rsid w:val="00A720CA"/>
    <w:rsid w:val="00A727A7"/>
    <w:rsid w:val="00A83763"/>
    <w:rsid w:val="00A93013"/>
    <w:rsid w:val="00A94E9D"/>
    <w:rsid w:val="00AA60DA"/>
    <w:rsid w:val="00AB1521"/>
    <w:rsid w:val="00AB3659"/>
    <w:rsid w:val="00AC2A11"/>
    <w:rsid w:val="00AC631D"/>
    <w:rsid w:val="00AD0E88"/>
    <w:rsid w:val="00AD4267"/>
    <w:rsid w:val="00AD4E9A"/>
    <w:rsid w:val="00AE2EFB"/>
    <w:rsid w:val="00AE724F"/>
    <w:rsid w:val="00B024D9"/>
    <w:rsid w:val="00B12F81"/>
    <w:rsid w:val="00B13BDC"/>
    <w:rsid w:val="00B204E6"/>
    <w:rsid w:val="00B43E79"/>
    <w:rsid w:val="00B54B1F"/>
    <w:rsid w:val="00B57524"/>
    <w:rsid w:val="00B62AD6"/>
    <w:rsid w:val="00B62DDA"/>
    <w:rsid w:val="00B6324F"/>
    <w:rsid w:val="00B7082A"/>
    <w:rsid w:val="00B71EB4"/>
    <w:rsid w:val="00B7359A"/>
    <w:rsid w:val="00B755AF"/>
    <w:rsid w:val="00B91CC3"/>
    <w:rsid w:val="00B92C6C"/>
    <w:rsid w:val="00B93B46"/>
    <w:rsid w:val="00B951FC"/>
    <w:rsid w:val="00BA1713"/>
    <w:rsid w:val="00BA4485"/>
    <w:rsid w:val="00BA45E5"/>
    <w:rsid w:val="00BC100A"/>
    <w:rsid w:val="00BD02BD"/>
    <w:rsid w:val="00BD4A1A"/>
    <w:rsid w:val="00BE5705"/>
    <w:rsid w:val="00C016ED"/>
    <w:rsid w:val="00C02D37"/>
    <w:rsid w:val="00C06760"/>
    <w:rsid w:val="00C129A3"/>
    <w:rsid w:val="00C360A2"/>
    <w:rsid w:val="00C44FBA"/>
    <w:rsid w:val="00C47CCB"/>
    <w:rsid w:val="00C52FB1"/>
    <w:rsid w:val="00C565C6"/>
    <w:rsid w:val="00C56D21"/>
    <w:rsid w:val="00C57799"/>
    <w:rsid w:val="00C65CC1"/>
    <w:rsid w:val="00C668F8"/>
    <w:rsid w:val="00C74274"/>
    <w:rsid w:val="00C76363"/>
    <w:rsid w:val="00C8154C"/>
    <w:rsid w:val="00C83A55"/>
    <w:rsid w:val="00C93BC2"/>
    <w:rsid w:val="00CA6A53"/>
    <w:rsid w:val="00CA6FA6"/>
    <w:rsid w:val="00CC0DEA"/>
    <w:rsid w:val="00CC4A9C"/>
    <w:rsid w:val="00CC5AB6"/>
    <w:rsid w:val="00CC6D65"/>
    <w:rsid w:val="00CD1922"/>
    <w:rsid w:val="00CD1B4F"/>
    <w:rsid w:val="00CD66E8"/>
    <w:rsid w:val="00CE1E72"/>
    <w:rsid w:val="00CE6861"/>
    <w:rsid w:val="00D00667"/>
    <w:rsid w:val="00D0457E"/>
    <w:rsid w:val="00D07400"/>
    <w:rsid w:val="00D30660"/>
    <w:rsid w:val="00D30BBC"/>
    <w:rsid w:val="00D33263"/>
    <w:rsid w:val="00D342F7"/>
    <w:rsid w:val="00D3448A"/>
    <w:rsid w:val="00D427BF"/>
    <w:rsid w:val="00D44AD9"/>
    <w:rsid w:val="00D61727"/>
    <w:rsid w:val="00D625E9"/>
    <w:rsid w:val="00D64119"/>
    <w:rsid w:val="00D74746"/>
    <w:rsid w:val="00D83C4B"/>
    <w:rsid w:val="00D930B0"/>
    <w:rsid w:val="00DA0B9C"/>
    <w:rsid w:val="00DB3F01"/>
    <w:rsid w:val="00DB5593"/>
    <w:rsid w:val="00DB5FF1"/>
    <w:rsid w:val="00DE036E"/>
    <w:rsid w:val="00DE3A1B"/>
    <w:rsid w:val="00DF6D0B"/>
    <w:rsid w:val="00E027E8"/>
    <w:rsid w:val="00E04CBE"/>
    <w:rsid w:val="00E17B55"/>
    <w:rsid w:val="00E238B4"/>
    <w:rsid w:val="00E25A0F"/>
    <w:rsid w:val="00E26640"/>
    <w:rsid w:val="00E272D9"/>
    <w:rsid w:val="00E278ED"/>
    <w:rsid w:val="00E4229B"/>
    <w:rsid w:val="00E44D92"/>
    <w:rsid w:val="00E55570"/>
    <w:rsid w:val="00E61501"/>
    <w:rsid w:val="00E65429"/>
    <w:rsid w:val="00E71CA4"/>
    <w:rsid w:val="00E7590A"/>
    <w:rsid w:val="00E80B01"/>
    <w:rsid w:val="00E84ABD"/>
    <w:rsid w:val="00E84DF1"/>
    <w:rsid w:val="00E96785"/>
    <w:rsid w:val="00E968EE"/>
    <w:rsid w:val="00EC4D63"/>
    <w:rsid w:val="00EC74C7"/>
    <w:rsid w:val="00ED1302"/>
    <w:rsid w:val="00ED222C"/>
    <w:rsid w:val="00EE4269"/>
    <w:rsid w:val="00EE5600"/>
    <w:rsid w:val="00EF0C27"/>
    <w:rsid w:val="00EF1DD1"/>
    <w:rsid w:val="00EF2293"/>
    <w:rsid w:val="00EF249D"/>
    <w:rsid w:val="00EF735E"/>
    <w:rsid w:val="00EF778D"/>
    <w:rsid w:val="00F00C2C"/>
    <w:rsid w:val="00F1626B"/>
    <w:rsid w:val="00F17BFF"/>
    <w:rsid w:val="00F21B9F"/>
    <w:rsid w:val="00F24A79"/>
    <w:rsid w:val="00F361FE"/>
    <w:rsid w:val="00F3626A"/>
    <w:rsid w:val="00F41675"/>
    <w:rsid w:val="00F50352"/>
    <w:rsid w:val="00F51428"/>
    <w:rsid w:val="00F517CD"/>
    <w:rsid w:val="00F5362F"/>
    <w:rsid w:val="00F55457"/>
    <w:rsid w:val="00F56417"/>
    <w:rsid w:val="00F665BA"/>
    <w:rsid w:val="00F67CF7"/>
    <w:rsid w:val="00F70116"/>
    <w:rsid w:val="00F75A69"/>
    <w:rsid w:val="00F80220"/>
    <w:rsid w:val="00F84336"/>
    <w:rsid w:val="00F94C21"/>
    <w:rsid w:val="00FA2D63"/>
    <w:rsid w:val="00FA64F1"/>
    <w:rsid w:val="00FA7EEF"/>
    <w:rsid w:val="00FC1364"/>
    <w:rsid w:val="00FC34C5"/>
    <w:rsid w:val="00FC7B56"/>
    <w:rsid w:val="00FD1B4E"/>
    <w:rsid w:val="00FE0414"/>
    <w:rsid w:val="00FE5BE8"/>
    <w:rsid w:val="00FF1CB7"/>
    <w:rsid w:val="00FF37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6883"/>
  <w15:chartTrackingRefBased/>
  <w15:docId w15:val="{EC68D65B-5E10-4DED-9FC4-BE39335A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F22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A720CA"/>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next w:val="Normal"/>
    <w:link w:val="Titre3Car"/>
    <w:uiPriority w:val="9"/>
    <w:semiHidden/>
    <w:unhideWhenUsed/>
    <w:qFormat/>
    <w:rsid w:val="00B43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A451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rmgdetail-intro">
    <w:name w:val="rmgdetail-intro"/>
    <w:basedOn w:val="Normal"/>
    <w:rsid w:val="00A720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ast-paragraph">
    <w:name w:val="last-paragraph"/>
    <w:basedOn w:val="Normal"/>
    <w:rsid w:val="00A720C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2Car">
    <w:name w:val="Titre 2 Car"/>
    <w:basedOn w:val="Policepardfaut"/>
    <w:link w:val="Titre2"/>
    <w:uiPriority w:val="9"/>
    <w:rsid w:val="00A720CA"/>
    <w:rPr>
      <w:rFonts w:ascii="Times New Roman" w:eastAsia="Times New Roman" w:hAnsi="Times New Roman" w:cs="Times New Roman"/>
      <w:b/>
      <w:bCs/>
      <w:sz w:val="36"/>
      <w:szCs w:val="36"/>
      <w:lang w:eastAsia="fr-BE"/>
    </w:rPr>
  </w:style>
  <w:style w:type="character" w:styleId="lev">
    <w:name w:val="Strong"/>
    <w:basedOn w:val="Policepardfaut"/>
    <w:uiPriority w:val="22"/>
    <w:qFormat/>
    <w:rsid w:val="00A720CA"/>
    <w:rPr>
      <w:b/>
      <w:bCs/>
    </w:rPr>
  </w:style>
  <w:style w:type="character" w:styleId="Lienhypertexte">
    <w:name w:val="Hyperlink"/>
    <w:basedOn w:val="Policepardfaut"/>
    <w:uiPriority w:val="99"/>
    <w:unhideWhenUsed/>
    <w:rsid w:val="00A720CA"/>
    <w:rPr>
      <w:color w:val="0000FF"/>
      <w:u w:val="single"/>
    </w:rPr>
  </w:style>
  <w:style w:type="character" w:customStyle="1" w:styleId="c-quoteinsetballoontext">
    <w:name w:val="c-quoteinset__balloon__text"/>
    <w:basedOn w:val="Policepardfaut"/>
    <w:rsid w:val="00A720CA"/>
  </w:style>
  <w:style w:type="character" w:customStyle="1" w:styleId="sr-only">
    <w:name w:val="sr-only"/>
    <w:basedOn w:val="Policepardfaut"/>
    <w:rsid w:val="00A720CA"/>
  </w:style>
  <w:style w:type="character" w:customStyle="1" w:styleId="fichelettrine">
    <w:name w:val="fichelettrine"/>
    <w:basedOn w:val="Policepardfaut"/>
    <w:rsid w:val="009C7888"/>
  </w:style>
  <w:style w:type="character" w:customStyle="1" w:styleId="Titre1Car">
    <w:name w:val="Titre 1 Car"/>
    <w:basedOn w:val="Policepardfaut"/>
    <w:link w:val="Titre1"/>
    <w:uiPriority w:val="9"/>
    <w:rsid w:val="00EF2293"/>
    <w:rPr>
      <w:rFonts w:asciiTheme="majorHAnsi" w:eastAsiaTheme="majorEastAsia" w:hAnsiTheme="majorHAnsi" w:cstheme="majorBidi"/>
      <w:color w:val="2F5496" w:themeColor="accent1" w:themeShade="BF"/>
      <w:sz w:val="32"/>
      <w:szCs w:val="32"/>
    </w:rPr>
  </w:style>
  <w:style w:type="paragraph" w:styleId="Textebrut">
    <w:name w:val="Plain Text"/>
    <w:basedOn w:val="Normal"/>
    <w:link w:val="TextebrutCar"/>
    <w:uiPriority w:val="99"/>
    <w:semiHidden/>
    <w:unhideWhenUsed/>
    <w:rsid w:val="00EF2293"/>
    <w:pPr>
      <w:spacing w:after="0" w:line="240" w:lineRule="auto"/>
    </w:pPr>
    <w:rPr>
      <w:rFonts w:ascii="Calibri" w:eastAsia="Calibri" w:hAnsi="Calibri" w:cs="Times New Roman"/>
      <w:szCs w:val="21"/>
    </w:rPr>
  </w:style>
  <w:style w:type="character" w:customStyle="1" w:styleId="TextebrutCar">
    <w:name w:val="Texte brut Car"/>
    <w:basedOn w:val="Policepardfaut"/>
    <w:link w:val="Textebrut"/>
    <w:uiPriority w:val="99"/>
    <w:semiHidden/>
    <w:rsid w:val="00EF2293"/>
    <w:rPr>
      <w:rFonts w:ascii="Calibri" w:eastAsia="Calibri" w:hAnsi="Calibri" w:cs="Times New Roman"/>
      <w:szCs w:val="21"/>
    </w:rPr>
  </w:style>
  <w:style w:type="character" w:styleId="Accentuation">
    <w:name w:val="Emphasis"/>
    <w:basedOn w:val="Policepardfaut"/>
    <w:uiPriority w:val="20"/>
    <w:qFormat/>
    <w:rsid w:val="00EF2293"/>
    <w:rPr>
      <w:i/>
      <w:iCs/>
    </w:rPr>
  </w:style>
  <w:style w:type="character" w:customStyle="1" w:styleId="Mentionnonrsolue1">
    <w:name w:val="Mention non résolue1"/>
    <w:basedOn w:val="Policepardfaut"/>
    <w:uiPriority w:val="99"/>
    <w:semiHidden/>
    <w:unhideWhenUsed/>
    <w:rsid w:val="00CA6A53"/>
    <w:rPr>
      <w:color w:val="605E5C"/>
      <w:shd w:val="clear" w:color="auto" w:fill="E1DFDD"/>
    </w:rPr>
  </w:style>
  <w:style w:type="character" w:customStyle="1" w:styleId="Titre3Car">
    <w:name w:val="Titre 3 Car"/>
    <w:basedOn w:val="Policepardfaut"/>
    <w:link w:val="Titre3"/>
    <w:uiPriority w:val="9"/>
    <w:semiHidden/>
    <w:rsid w:val="00B43E79"/>
    <w:rPr>
      <w:rFonts w:asciiTheme="majorHAnsi" w:eastAsiaTheme="majorEastAsia" w:hAnsiTheme="majorHAnsi" w:cstheme="majorBidi"/>
      <w:color w:val="1F3763" w:themeColor="accent1" w:themeShade="7F"/>
      <w:sz w:val="24"/>
      <w:szCs w:val="24"/>
    </w:rPr>
  </w:style>
  <w:style w:type="paragraph" w:styleId="Paragraphedeliste">
    <w:name w:val="List Paragraph"/>
    <w:basedOn w:val="Normal"/>
    <w:link w:val="ParagraphedelisteCar"/>
    <w:uiPriority w:val="34"/>
    <w:qFormat/>
    <w:rsid w:val="003A4868"/>
    <w:pPr>
      <w:spacing w:line="252" w:lineRule="auto"/>
      <w:ind w:left="720"/>
      <w:contextualSpacing/>
    </w:pPr>
    <w:rPr>
      <w:rFonts w:ascii="Calibri" w:hAnsi="Calibri" w:cs="Times New Roman"/>
    </w:rPr>
  </w:style>
  <w:style w:type="paragraph" w:customStyle="1" w:styleId="Body">
    <w:name w:val="Body"/>
    <w:basedOn w:val="Normal"/>
    <w:qFormat/>
    <w:rsid w:val="003A4868"/>
    <w:pPr>
      <w:tabs>
        <w:tab w:val="left" w:pos="1275"/>
      </w:tabs>
      <w:spacing w:line="240" w:lineRule="auto"/>
      <w:jc w:val="both"/>
    </w:pPr>
    <w:rPr>
      <w:bCs/>
      <w:sz w:val="20"/>
      <w:szCs w:val="20"/>
    </w:rPr>
  </w:style>
  <w:style w:type="character" w:customStyle="1" w:styleId="ParagraphedelisteCar">
    <w:name w:val="Paragraphe de liste Car"/>
    <w:link w:val="Paragraphedeliste"/>
    <w:uiPriority w:val="34"/>
    <w:rsid w:val="006B7EFE"/>
    <w:rPr>
      <w:rFonts w:ascii="Calibri" w:hAnsi="Calibri" w:cs="Times New Roman"/>
    </w:rPr>
  </w:style>
  <w:style w:type="character" w:customStyle="1" w:styleId="drop-cap">
    <w:name w:val="drop-cap"/>
    <w:basedOn w:val="Policepardfaut"/>
    <w:rsid w:val="00E26640"/>
  </w:style>
  <w:style w:type="character" w:customStyle="1" w:styleId="c-relatedarticleslisttitletxt">
    <w:name w:val="c-relatedarticleslist__title__txt"/>
    <w:basedOn w:val="Policepardfaut"/>
    <w:rsid w:val="0045420A"/>
  </w:style>
  <w:style w:type="paragraph" w:styleId="En-tte">
    <w:name w:val="header"/>
    <w:basedOn w:val="Normal"/>
    <w:link w:val="En-tteCar"/>
    <w:uiPriority w:val="99"/>
    <w:unhideWhenUsed/>
    <w:rsid w:val="00FE0414"/>
    <w:pPr>
      <w:tabs>
        <w:tab w:val="center" w:pos="4536"/>
        <w:tab w:val="right" w:pos="9072"/>
      </w:tabs>
      <w:spacing w:after="0" w:line="240" w:lineRule="auto"/>
    </w:pPr>
  </w:style>
  <w:style w:type="character" w:customStyle="1" w:styleId="En-tteCar">
    <w:name w:val="En-tête Car"/>
    <w:basedOn w:val="Policepardfaut"/>
    <w:link w:val="En-tte"/>
    <w:uiPriority w:val="99"/>
    <w:rsid w:val="00FE0414"/>
  </w:style>
  <w:style w:type="paragraph" w:styleId="Pieddepage">
    <w:name w:val="footer"/>
    <w:basedOn w:val="Normal"/>
    <w:link w:val="PieddepageCar"/>
    <w:uiPriority w:val="99"/>
    <w:unhideWhenUsed/>
    <w:rsid w:val="00FE04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0414"/>
  </w:style>
  <w:style w:type="paragraph" w:customStyle="1" w:styleId="Chapitre">
    <w:name w:val="Chapitre"/>
    <w:basedOn w:val="Normal"/>
    <w:qFormat/>
    <w:rsid w:val="00C016ED"/>
    <w:pPr>
      <w:pBdr>
        <w:bottom w:val="single" w:sz="4" w:space="1" w:color="9AC331"/>
      </w:pBdr>
      <w:spacing w:line="256" w:lineRule="auto"/>
      <w:jc w:val="both"/>
    </w:pPr>
    <w:rPr>
      <w:b/>
      <w:bCs/>
      <w:color w:val="1E90D0"/>
      <w:sz w:val="28"/>
      <w:szCs w:val="28"/>
    </w:rPr>
  </w:style>
  <w:style w:type="character" w:styleId="Mentionnonrsolue">
    <w:name w:val="Unresolved Mention"/>
    <w:basedOn w:val="Policepardfaut"/>
    <w:uiPriority w:val="99"/>
    <w:semiHidden/>
    <w:unhideWhenUsed/>
    <w:rsid w:val="00561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4735">
      <w:bodyDiv w:val="1"/>
      <w:marLeft w:val="0"/>
      <w:marRight w:val="0"/>
      <w:marTop w:val="0"/>
      <w:marBottom w:val="0"/>
      <w:divBdr>
        <w:top w:val="none" w:sz="0" w:space="0" w:color="auto"/>
        <w:left w:val="none" w:sz="0" w:space="0" w:color="auto"/>
        <w:bottom w:val="none" w:sz="0" w:space="0" w:color="auto"/>
        <w:right w:val="none" w:sz="0" w:space="0" w:color="auto"/>
      </w:divBdr>
    </w:div>
    <w:div w:id="130366171">
      <w:bodyDiv w:val="1"/>
      <w:marLeft w:val="0"/>
      <w:marRight w:val="0"/>
      <w:marTop w:val="0"/>
      <w:marBottom w:val="0"/>
      <w:divBdr>
        <w:top w:val="none" w:sz="0" w:space="0" w:color="auto"/>
        <w:left w:val="none" w:sz="0" w:space="0" w:color="auto"/>
        <w:bottom w:val="none" w:sz="0" w:space="0" w:color="auto"/>
        <w:right w:val="none" w:sz="0" w:space="0" w:color="auto"/>
      </w:divBdr>
      <w:divsChild>
        <w:div w:id="1270892048">
          <w:marLeft w:val="0"/>
          <w:marRight w:val="0"/>
          <w:marTop w:val="0"/>
          <w:marBottom w:val="0"/>
          <w:divBdr>
            <w:top w:val="none" w:sz="0" w:space="0" w:color="auto"/>
            <w:left w:val="none" w:sz="0" w:space="0" w:color="auto"/>
            <w:bottom w:val="none" w:sz="0" w:space="0" w:color="auto"/>
            <w:right w:val="none" w:sz="0" w:space="0" w:color="auto"/>
          </w:divBdr>
          <w:divsChild>
            <w:div w:id="555701352">
              <w:marLeft w:val="0"/>
              <w:marRight w:val="0"/>
              <w:marTop w:val="0"/>
              <w:marBottom w:val="0"/>
              <w:divBdr>
                <w:top w:val="none" w:sz="0" w:space="0" w:color="auto"/>
                <w:left w:val="none" w:sz="0" w:space="0" w:color="auto"/>
                <w:bottom w:val="none" w:sz="0" w:space="0" w:color="auto"/>
                <w:right w:val="none" w:sz="0" w:space="0" w:color="auto"/>
              </w:divBdr>
              <w:divsChild>
                <w:div w:id="188572476">
                  <w:marLeft w:val="-225"/>
                  <w:marRight w:val="-225"/>
                  <w:marTop w:val="0"/>
                  <w:marBottom w:val="0"/>
                  <w:divBdr>
                    <w:top w:val="none" w:sz="0" w:space="0" w:color="auto"/>
                    <w:left w:val="none" w:sz="0" w:space="0" w:color="auto"/>
                    <w:bottom w:val="none" w:sz="0" w:space="0" w:color="auto"/>
                    <w:right w:val="none" w:sz="0" w:space="0" w:color="auto"/>
                  </w:divBdr>
                  <w:divsChild>
                    <w:div w:id="1885825739">
                      <w:marLeft w:val="0"/>
                      <w:marRight w:val="0"/>
                      <w:marTop w:val="0"/>
                      <w:marBottom w:val="0"/>
                      <w:divBdr>
                        <w:top w:val="none" w:sz="0" w:space="0" w:color="auto"/>
                        <w:left w:val="none" w:sz="0" w:space="0" w:color="auto"/>
                        <w:bottom w:val="none" w:sz="0" w:space="0" w:color="auto"/>
                        <w:right w:val="none" w:sz="0" w:space="0" w:color="auto"/>
                      </w:divBdr>
                      <w:divsChild>
                        <w:div w:id="4311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62659">
      <w:bodyDiv w:val="1"/>
      <w:marLeft w:val="0"/>
      <w:marRight w:val="0"/>
      <w:marTop w:val="0"/>
      <w:marBottom w:val="0"/>
      <w:divBdr>
        <w:top w:val="none" w:sz="0" w:space="0" w:color="auto"/>
        <w:left w:val="none" w:sz="0" w:space="0" w:color="auto"/>
        <w:bottom w:val="none" w:sz="0" w:space="0" w:color="auto"/>
        <w:right w:val="none" w:sz="0" w:space="0" w:color="auto"/>
      </w:divBdr>
    </w:div>
    <w:div w:id="181090720">
      <w:bodyDiv w:val="1"/>
      <w:marLeft w:val="0"/>
      <w:marRight w:val="0"/>
      <w:marTop w:val="0"/>
      <w:marBottom w:val="0"/>
      <w:divBdr>
        <w:top w:val="none" w:sz="0" w:space="0" w:color="auto"/>
        <w:left w:val="none" w:sz="0" w:space="0" w:color="auto"/>
        <w:bottom w:val="none" w:sz="0" w:space="0" w:color="auto"/>
        <w:right w:val="none" w:sz="0" w:space="0" w:color="auto"/>
      </w:divBdr>
    </w:div>
    <w:div w:id="362828404">
      <w:bodyDiv w:val="1"/>
      <w:marLeft w:val="0"/>
      <w:marRight w:val="0"/>
      <w:marTop w:val="0"/>
      <w:marBottom w:val="0"/>
      <w:divBdr>
        <w:top w:val="none" w:sz="0" w:space="0" w:color="auto"/>
        <w:left w:val="none" w:sz="0" w:space="0" w:color="auto"/>
        <w:bottom w:val="none" w:sz="0" w:space="0" w:color="auto"/>
        <w:right w:val="none" w:sz="0" w:space="0" w:color="auto"/>
      </w:divBdr>
    </w:div>
    <w:div w:id="449249282">
      <w:bodyDiv w:val="1"/>
      <w:marLeft w:val="0"/>
      <w:marRight w:val="0"/>
      <w:marTop w:val="0"/>
      <w:marBottom w:val="0"/>
      <w:divBdr>
        <w:top w:val="none" w:sz="0" w:space="0" w:color="auto"/>
        <w:left w:val="none" w:sz="0" w:space="0" w:color="auto"/>
        <w:bottom w:val="none" w:sz="0" w:space="0" w:color="auto"/>
        <w:right w:val="none" w:sz="0" w:space="0" w:color="auto"/>
      </w:divBdr>
    </w:div>
    <w:div w:id="526913549">
      <w:bodyDiv w:val="1"/>
      <w:marLeft w:val="0"/>
      <w:marRight w:val="0"/>
      <w:marTop w:val="0"/>
      <w:marBottom w:val="0"/>
      <w:divBdr>
        <w:top w:val="none" w:sz="0" w:space="0" w:color="auto"/>
        <w:left w:val="none" w:sz="0" w:space="0" w:color="auto"/>
        <w:bottom w:val="none" w:sz="0" w:space="0" w:color="auto"/>
        <w:right w:val="none" w:sz="0" w:space="0" w:color="auto"/>
      </w:divBdr>
    </w:div>
    <w:div w:id="559901460">
      <w:bodyDiv w:val="1"/>
      <w:marLeft w:val="0"/>
      <w:marRight w:val="0"/>
      <w:marTop w:val="0"/>
      <w:marBottom w:val="0"/>
      <w:divBdr>
        <w:top w:val="none" w:sz="0" w:space="0" w:color="auto"/>
        <w:left w:val="none" w:sz="0" w:space="0" w:color="auto"/>
        <w:bottom w:val="none" w:sz="0" w:space="0" w:color="auto"/>
        <w:right w:val="none" w:sz="0" w:space="0" w:color="auto"/>
      </w:divBdr>
      <w:divsChild>
        <w:div w:id="102917865">
          <w:marLeft w:val="0"/>
          <w:marRight w:val="0"/>
          <w:marTop w:val="0"/>
          <w:marBottom w:val="0"/>
          <w:divBdr>
            <w:top w:val="none" w:sz="0" w:space="0" w:color="auto"/>
            <w:left w:val="none" w:sz="0" w:space="0" w:color="auto"/>
            <w:bottom w:val="none" w:sz="0" w:space="0" w:color="auto"/>
            <w:right w:val="none" w:sz="0" w:space="0" w:color="auto"/>
          </w:divBdr>
          <w:divsChild>
            <w:div w:id="1716392121">
              <w:marLeft w:val="0"/>
              <w:marRight w:val="0"/>
              <w:marTop w:val="0"/>
              <w:marBottom w:val="0"/>
              <w:divBdr>
                <w:top w:val="none" w:sz="0" w:space="0" w:color="auto"/>
                <w:left w:val="none" w:sz="0" w:space="0" w:color="auto"/>
                <w:bottom w:val="none" w:sz="0" w:space="0" w:color="auto"/>
                <w:right w:val="none" w:sz="0" w:space="0" w:color="auto"/>
              </w:divBdr>
              <w:divsChild>
                <w:div w:id="2068070427">
                  <w:marLeft w:val="0"/>
                  <w:marRight w:val="0"/>
                  <w:marTop w:val="0"/>
                  <w:marBottom w:val="450"/>
                  <w:divBdr>
                    <w:top w:val="single" w:sz="6" w:space="6" w:color="CCCCCC"/>
                    <w:left w:val="none" w:sz="0" w:space="0" w:color="auto"/>
                    <w:bottom w:val="single" w:sz="6" w:space="6" w:color="CCCCCC"/>
                    <w:right w:val="none" w:sz="0" w:space="0" w:color="auto"/>
                  </w:divBdr>
                </w:div>
              </w:divsChild>
            </w:div>
          </w:divsChild>
        </w:div>
        <w:div w:id="324625872">
          <w:marLeft w:val="0"/>
          <w:marRight w:val="0"/>
          <w:marTop w:val="0"/>
          <w:marBottom w:val="0"/>
          <w:divBdr>
            <w:top w:val="none" w:sz="0" w:space="0" w:color="auto"/>
            <w:left w:val="none" w:sz="0" w:space="0" w:color="auto"/>
            <w:bottom w:val="none" w:sz="0" w:space="0" w:color="auto"/>
            <w:right w:val="none" w:sz="0" w:space="0" w:color="auto"/>
          </w:divBdr>
        </w:div>
        <w:div w:id="2085373521">
          <w:marLeft w:val="0"/>
          <w:marRight w:val="0"/>
          <w:marTop w:val="0"/>
          <w:marBottom w:val="0"/>
          <w:divBdr>
            <w:top w:val="none" w:sz="0" w:space="0" w:color="auto"/>
            <w:left w:val="none" w:sz="0" w:space="0" w:color="auto"/>
            <w:bottom w:val="none" w:sz="0" w:space="0" w:color="auto"/>
            <w:right w:val="none" w:sz="0" w:space="0" w:color="auto"/>
          </w:divBdr>
        </w:div>
      </w:divsChild>
    </w:div>
    <w:div w:id="682442653">
      <w:bodyDiv w:val="1"/>
      <w:marLeft w:val="0"/>
      <w:marRight w:val="0"/>
      <w:marTop w:val="0"/>
      <w:marBottom w:val="0"/>
      <w:divBdr>
        <w:top w:val="none" w:sz="0" w:space="0" w:color="auto"/>
        <w:left w:val="none" w:sz="0" w:space="0" w:color="auto"/>
        <w:bottom w:val="none" w:sz="0" w:space="0" w:color="auto"/>
        <w:right w:val="none" w:sz="0" w:space="0" w:color="auto"/>
      </w:divBdr>
    </w:div>
    <w:div w:id="743793782">
      <w:bodyDiv w:val="1"/>
      <w:marLeft w:val="0"/>
      <w:marRight w:val="0"/>
      <w:marTop w:val="0"/>
      <w:marBottom w:val="0"/>
      <w:divBdr>
        <w:top w:val="none" w:sz="0" w:space="0" w:color="auto"/>
        <w:left w:val="none" w:sz="0" w:space="0" w:color="auto"/>
        <w:bottom w:val="none" w:sz="0" w:space="0" w:color="auto"/>
        <w:right w:val="none" w:sz="0" w:space="0" w:color="auto"/>
      </w:divBdr>
    </w:div>
    <w:div w:id="829835546">
      <w:bodyDiv w:val="1"/>
      <w:marLeft w:val="0"/>
      <w:marRight w:val="0"/>
      <w:marTop w:val="0"/>
      <w:marBottom w:val="0"/>
      <w:divBdr>
        <w:top w:val="none" w:sz="0" w:space="0" w:color="auto"/>
        <w:left w:val="none" w:sz="0" w:space="0" w:color="auto"/>
        <w:bottom w:val="none" w:sz="0" w:space="0" w:color="auto"/>
        <w:right w:val="none" w:sz="0" w:space="0" w:color="auto"/>
      </w:divBdr>
    </w:div>
    <w:div w:id="834733986">
      <w:bodyDiv w:val="1"/>
      <w:marLeft w:val="0"/>
      <w:marRight w:val="0"/>
      <w:marTop w:val="0"/>
      <w:marBottom w:val="0"/>
      <w:divBdr>
        <w:top w:val="none" w:sz="0" w:space="0" w:color="auto"/>
        <w:left w:val="none" w:sz="0" w:space="0" w:color="auto"/>
        <w:bottom w:val="none" w:sz="0" w:space="0" w:color="auto"/>
        <w:right w:val="none" w:sz="0" w:space="0" w:color="auto"/>
      </w:divBdr>
    </w:div>
    <w:div w:id="978803514">
      <w:bodyDiv w:val="1"/>
      <w:marLeft w:val="0"/>
      <w:marRight w:val="0"/>
      <w:marTop w:val="0"/>
      <w:marBottom w:val="0"/>
      <w:divBdr>
        <w:top w:val="none" w:sz="0" w:space="0" w:color="auto"/>
        <w:left w:val="none" w:sz="0" w:space="0" w:color="auto"/>
        <w:bottom w:val="none" w:sz="0" w:space="0" w:color="auto"/>
        <w:right w:val="none" w:sz="0" w:space="0" w:color="auto"/>
      </w:divBdr>
    </w:div>
    <w:div w:id="1003893076">
      <w:bodyDiv w:val="1"/>
      <w:marLeft w:val="0"/>
      <w:marRight w:val="0"/>
      <w:marTop w:val="0"/>
      <w:marBottom w:val="0"/>
      <w:divBdr>
        <w:top w:val="none" w:sz="0" w:space="0" w:color="auto"/>
        <w:left w:val="none" w:sz="0" w:space="0" w:color="auto"/>
        <w:bottom w:val="none" w:sz="0" w:space="0" w:color="auto"/>
        <w:right w:val="none" w:sz="0" w:space="0" w:color="auto"/>
      </w:divBdr>
    </w:div>
    <w:div w:id="1248225281">
      <w:bodyDiv w:val="1"/>
      <w:marLeft w:val="0"/>
      <w:marRight w:val="0"/>
      <w:marTop w:val="0"/>
      <w:marBottom w:val="0"/>
      <w:divBdr>
        <w:top w:val="none" w:sz="0" w:space="0" w:color="auto"/>
        <w:left w:val="none" w:sz="0" w:space="0" w:color="auto"/>
        <w:bottom w:val="none" w:sz="0" w:space="0" w:color="auto"/>
        <w:right w:val="none" w:sz="0" w:space="0" w:color="auto"/>
      </w:divBdr>
    </w:div>
    <w:div w:id="1302493294">
      <w:bodyDiv w:val="1"/>
      <w:marLeft w:val="0"/>
      <w:marRight w:val="0"/>
      <w:marTop w:val="0"/>
      <w:marBottom w:val="0"/>
      <w:divBdr>
        <w:top w:val="none" w:sz="0" w:space="0" w:color="auto"/>
        <w:left w:val="none" w:sz="0" w:space="0" w:color="auto"/>
        <w:bottom w:val="none" w:sz="0" w:space="0" w:color="auto"/>
        <w:right w:val="none" w:sz="0" w:space="0" w:color="auto"/>
      </w:divBdr>
    </w:div>
    <w:div w:id="1468861429">
      <w:bodyDiv w:val="1"/>
      <w:marLeft w:val="0"/>
      <w:marRight w:val="0"/>
      <w:marTop w:val="0"/>
      <w:marBottom w:val="0"/>
      <w:divBdr>
        <w:top w:val="none" w:sz="0" w:space="0" w:color="auto"/>
        <w:left w:val="none" w:sz="0" w:space="0" w:color="auto"/>
        <w:bottom w:val="none" w:sz="0" w:space="0" w:color="auto"/>
        <w:right w:val="none" w:sz="0" w:space="0" w:color="auto"/>
      </w:divBdr>
    </w:div>
    <w:div w:id="1617835183">
      <w:bodyDiv w:val="1"/>
      <w:marLeft w:val="0"/>
      <w:marRight w:val="0"/>
      <w:marTop w:val="0"/>
      <w:marBottom w:val="0"/>
      <w:divBdr>
        <w:top w:val="none" w:sz="0" w:space="0" w:color="auto"/>
        <w:left w:val="none" w:sz="0" w:space="0" w:color="auto"/>
        <w:bottom w:val="none" w:sz="0" w:space="0" w:color="auto"/>
        <w:right w:val="none" w:sz="0" w:space="0" w:color="auto"/>
      </w:divBdr>
      <w:divsChild>
        <w:div w:id="849754422">
          <w:marLeft w:val="0"/>
          <w:marRight w:val="0"/>
          <w:marTop w:val="0"/>
          <w:marBottom w:val="480"/>
          <w:divBdr>
            <w:top w:val="none" w:sz="0" w:space="0" w:color="auto"/>
            <w:left w:val="none" w:sz="0" w:space="0" w:color="auto"/>
            <w:bottom w:val="none" w:sz="0" w:space="0" w:color="auto"/>
            <w:right w:val="none" w:sz="0" w:space="0" w:color="auto"/>
          </w:divBdr>
        </w:div>
        <w:div w:id="2009167885">
          <w:marLeft w:val="0"/>
          <w:marRight w:val="0"/>
          <w:marTop w:val="0"/>
          <w:marBottom w:val="480"/>
          <w:divBdr>
            <w:top w:val="none" w:sz="0" w:space="0" w:color="auto"/>
            <w:left w:val="none" w:sz="0" w:space="0" w:color="auto"/>
            <w:bottom w:val="none" w:sz="0" w:space="0" w:color="auto"/>
            <w:right w:val="none" w:sz="0" w:space="0" w:color="auto"/>
          </w:divBdr>
        </w:div>
        <w:div w:id="2100448348">
          <w:marLeft w:val="-2250"/>
          <w:marRight w:val="750"/>
          <w:marTop w:val="0"/>
          <w:marBottom w:val="0"/>
          <w:divBdr>
            <w:top w:val="none" w:sz="0" w:space="0" w:color="auto"/>
            <w:left w:val="none" w:sz="0" w:space="0" w:color="auto"/>
            <w:bottom w:val="none" w:sz="0" w:space="0" w:color="auto"/>
            <w:right w:val="none" w:sz="0" w:space="0" w:color="auto"/>
          </w:divBdr>
          <w:divsChild>
            <w:div w:id="1222331248">
              <w:marLeft w:val="0"/>
              <w:marRight w:val="0"/>
              <w:marTop w:val="0"/>
              <w:marBottom w:val="0"/>
              <w:divBdr>
                <w:top w:val="none" w:sz="0" w:space="0" w:color="auto"/>
                <w:left w:val="none" w:sz="0" w:space="0" w:color="auto"/>
                <w:bottom w:val="none" w:sz="0" w:space="0" w:color="auto"/>
                <w:right w:val="none" w:sz="0" w:space="0" w:color="auto"/>
              </w:divBdr>
            </w:div>
            <w:div w:id="571474950">
              <w:marLeft w:val="0"/>
              <w:marRight w:val="0"/>
              <w:marTop w:val="0"/>
              <w:marBottom w:val="0"/>
              <w:divBdr>
                <w:top w:val="none" w:sz="0" w:space="0" w:color="auto"/>
                <w:left w:val="none" w:sz="0" w:space="0" w:color="auto"/>
                <w:bottom w:val="none" w:sz="0" w:space="0" w:color="auto"/>
                <w:right w:val="none" w:sz="0" w:space="0" w:color="auto"/>
              </w:divBdr>
            </w:div>
            <w:div w:id="1634210297">
              <w:marLeft w:val="0"/>
              <w:marRight w:val="0"/>
              <w:marTop w:val="0"/>
              <w:marBottom w:val="0"/>
              <w:divBdr>
                <w:top w:val="none" w:sz="0" w:space="0" w:color="auto"/>
                <w:left w:val="none" w:sz="0" w:space="0" w:color="auto"/>
                <w:bottom w:val="none" w:sz="0" w:space="0" w:color="auto"/>
                <w:right w:val="none" w:sz="0" w:space="0" w:color="auto"/>
              </w:divBdr>
            </w:div>
          </w:divsChild>
        </w:div>
        <w:div w:id="47413525">
          <w:marLeft w:val="0"/>
          <w:marRight w:val="0"/>
          <w:marTop w:val="0"/>
          <w:marBottom w:val="480"/>
          <w:divBdr>
            <w:top w:val="none" w:sz="0" w:space="0" w:color="auto"/>
            <w:left w:val="none" w:sz="0" w:space="0" w:color="auto"/>
            <w:bottom w:val="none" w:sz="0" w:space="0" w:color="auto"/>
            <w:right w:val="none" w:sz="0" w:space="0" w:color="auto"/>
          </w:divBdr>
        </w:div>
        <w:div w:id="1268462405">
          <w:marLeft w:val="0"/>
          <w:marRight w:val="0"/>
          <w:marTop w:val="0"/>
          <w:marBottom w:val="480"/>
          <w:divBdr>
            <w:top w:val="none" w:sz="0" w:space="0" w:color="auto"/>
            <w:left w:val="none" w:sz="0" w:space="0" w:color="auto"/>
            <w:bottom w:val="none" w:sz="0" w:space="0" w:color="auto"/>
            <w:right w:val="none" w:sz="0" w:space="0" w:color="auto"/>
          </w:divBdr>
        </w:div>
        <w:div w:id="77795615">
          <w:marLeft w:val="0"/>
          <w:marRight w:val="0"/>
          <w:marTop w:val="0"/>
          <w:marBottom w:val="480"/>
          <w:divBdr>
            <w:top w:val="none" w:sz="0" w:space="0" w:color="auto"/>
            <w:left w:val="none" w:sz="0" w:space="0" w:color="auto"/>
            <w:bottom w:val="none" w:sz="0" w:space="0" w:color="auto"/>
            <w:right w:val="none" w:sz="0" w:space="0" w:color="auto"/>
          </w:divBdr>
        </w:div>
        <w:div w:id="1569653065">
          <w:marLeft w:val="0"/>
          <w:marRight w:val="0"/>
          <w:marTop w:val="0"/>
          <w:marBottom w:val="480"/>
          <w:divBdr>
            <w:top w:val="none" w:sz="0" w:space="0" w:color="auto"/>
            <w:left w:val="none" w:sz="0" w:space="0" w:color="auto"/>
            <w:bottom w:val="none" w:sz="0" w:space="0" w:color="auto"/>
            <w:right w:val="none" w:sz="0" w:space="0" w:color="auto"/>
          </w:divBdr>
        </w:div>
        <w:div w:id="1142769514">
          <w:marLeft w:val="0"/>
          <w:marRight w:val="0"/>
          <w:marTop w:val="0"/>
          <w:marBottom w:val="480"/>
          <w:divBdr>
            <w:top w:val="none" w:sz="0" w:space="0" w:color="auto"/>
            <w:left w:val="none" w:sz="0" w:space="0" w:color="auto"/>
            <w:bottom w:val="none" w:sz="0" w:space="0" w:color="auto"/>
            <w:right w:val="none" w:sz="0" w:space="0" w:color="auto"/>
          </w:divBdr>
        </w:div>
        <w:div w:id="1391152534">
          <w:marLeft w:val="0"/>
          <w:marRight w:val="0"/>
          <w:marTop w:val="0"/>
          <w:marBottom w:val="480"/>
          <w:divBdr>
            <w:top w:val="none" w:sz="0" w:space="0" w:color="auto"/>
            <w:left w:val="none" w:sz="0" w:space="0" w:color="auto"/>
            <w:bottom w:val="none" w:sz="0" w:space="0" w:color="auto"/>
            <w:right w:val="none" w:sz="0" w:space="0" w:color="auto"/>
          </w:divBdr>
        </w:div>
        <w:div w:id="1957053912">
          <w:marLeft w:val="-2250"/>
          <w:marRight w:val="750"/>
          <w:marTop w:val="0"/>
          <w:marBottom w:val="0"/>
          <w:divBdr>
            <w:top w:val="none" w:sz="0" w:space="0" w:color="auto"/>
            <w:left w:val="none" w:sz="0" w:space="0" w:color="auto"/>
            <w:bottom w:val="none" w:sz="0" w:space="0" w:color="auto"/>
            <w:right w:val="none" w:sz="0" w:space="0" w:color="auto"/>
          </w:divBdr>
          <w:divsChild>
            <w:div w:id="1057170678">
              <w:marLeft w:val="0"/>
              <w:marRight w:val="0"/>
              <w:marTop w:val="0"/>
              <w:marBottom w:val="0"/>
              <w:divBdr>
                <w:top w:val="none" w:sz="0" w:space="0" w:color="auto"/>
                <w:left w:val="none" w:sz="0" w:space="0" w:color="auto"/>
                <w:bottom w:val="none" w:sz="0" w:space="0" w:color="auto"/>
                <w:right w:val="none" w:sz="0" w:space="0" w:color="auto"/>
              </w:divBdr>
              <w:divsChild>
                <w:div w:id="995694497">
                  <w:marLeft w:val="0"/>
                  <w:marRight w:val="0"/>
                  <w:marTop w:val="0"/>
                  <w:marBottom w:val="0"/>
                  <w:divBdr>
                    <w:top w:val="none" w:sz="0" w:space="0" w:color="auto"/>
                    <w:left w:val="none" w:sz="0" w:space="0" w:color="auto"/>
                    <w:bottom w:val="none" w:sz="0" w:space="0" w:color="auto"/>
                    <w:right w:val="none" w:sz="0" w:space="0" w:color="auto"/>
                  </w:divBdr>
                  <w:divsChild>
                    <w:div w:id="283466036">
                      <w:marLeft w:val="0"/>
                      <w:marRight w:val="0"/>
                      <w:marTop w:val="0"/>
                      <w:marBottom w:val="0"/>
                      <w:divBdr>
                        <w:top w:val="none" w:sz="0" w:space="0" w:color="auto"/>
                        <w:left w:val="none" w:sz="0" w:space="0" w:color="auto"/>
                        <w:bottom w:val="none" w:sz="0" w:space="0" w:color="auto"/>
                        <w:right w:val="none" w:sz="0" w:space="0" w:color="auto"/>
                      </w:divBdr>
                    </w:div>
                  </w:divsChild>
                </w:div>
                <w:div w:id="1423724961">
                  <w:marLeft w:val="0"/>
                  <w:marRight w:val="0"/>
                  <w:marTop w:val="0"/>
                  <w:marBottom w:val="0"/>
                  <w:divBdr>
                    <w:top w:val="none" w:sz="0" w:space="0" w:color="auto"/>
                    <w:left w:val="none" w:sz="0" w:space="0" w:color="auto"/>
                    <w:bottom w:val="none" w:sz="0" w:space="0" w:color="auto"/>
                    <w:right w:val="none" w:sz="0" w:space="0" w:color="auto"/>
                  </w:divBdr>
                  <w:divsChild>
                    <w:div w:id="457799732">
                      <w:marLeft w:val="0"/>
                      <w:marRight w:val="0"/>
                      <w:marTop w:val="0"/>
                      <w:marBottom w:val="0"/>
                      <w:divBdr>
                        <w:top w:val="none" w:sz="0" w:space="0" w:color="auto"/>
                        <w:left w:val="none" w:sz="0" w:space="0" w:color="auto"/>
                        <w:bottom w:val="none" w:sz="0" w:space="0" w:color="auto"/>
                        <w:right w:val="none" w:sz="0" w:space="0" w:color="auto"/>
                      </w:divBdr>
                    </w:div>
                    <w:div w:id="2520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1294">
          <w:marLeft w:val="0"/>
          <w:marRight w:val="0"/>
          <w:marTop w:val="0"/>
          <w:marBottom w:val="480"/>
          <w:divBdr>
            <w:top w:val="none" w:sz="0" w:space="0" w:color="auto"/>
            <w:left w:val="none" w:sz="0" w:space="0" w:color="auto"/>
            <w:bottom w:val="none" w:sz="0" w:space="0" w:color="auto"/>
            <w:right w:val="none" w:sz="0" w:space="0" w:color="auto"/>
          </w:divBdr>
        </w:div>
        <w:div w:id="771317015">
          <w:marLeft w:val="0"/>
          <w:marRight w:val="0"/>
          <w:marTop w:val="0"/>
          <w:marBottom w:val="480"/>
          <w:divBdr>
            <w:top w:val="none" w:sz="0" w:space="0" w:color="auto"/>
            <w:left w:val="none" w:sz="0" w:space="0" w:color="auto"/>
            <w:bottom w:val="none" w:sz="0" w:space="0" w:color="auto"/>
            <w:right w:val="none" w:sz="0" w:space="0" w:color="auto"/>
          </w:divBdr>
        </w:div>
        <w:div w:id="1397900033">
          <w:marLeft w:val="0"/>
          <w:marRight w:val="0"/>
          <w:marTop w:val="0"/>
          <w:marBottom w:val="480"/>
          <w:divBdr>
            <w:top w:val="none" w:sz="0" w:space="0" w:color="auto"/>
            <w:left w:val="none" w:sz="0" w:space="0" w:color="auto"/>
            <w:bottom w:val="none" w:sz="0" w:space="0" w:color="auto"/>
            <w:right w:val="none" w:sz="0" w:space="0" w:color="auto"/>
          </w:divBdr>
        </w:div>
        <w:div w:id="517237313">
          <w:marLeft w:val="0"/>
          <w:marRight w:val="0"/>
          <w:marTop w:val="0"/>
          <w:marBottom w:val="480"/>
          <w:divBdr>
            <w:top w:val="none" w:sz="0" w:space="0" w:color="auto"/>
            <w:left w:val="none" w:sz="0" w:space="0" w:color="auto"/>
            <w:bottom w:val="none" w:sz="0" w:space="0" w:color="auto"/>
            <w:right w:val="none" w:sz="0" w:space="0" w:color="auto"/>
          </w:divBdr>
        </w:div>
      </w:divsChild>
    </w:div>
    <w:div w:id="1644894060">
      <w:bodyDiv w:val="1"/>
      <w:marLeft w:val="0"/>
      <w:marRight w:val="0"/>
      <w:marTop w:val="0"/>
      <w:marBottom w:val="0"/>
      <w:divBdr>
        <w:top w:val="none" w:sz="0" w:space="0" w:color="auto"/>
        <w:left w:val="none" w:sz="0" w:space="0" w:color="auto"/>
        <w:bottom w:val="none" w:sz="0" w:space="0" w:color="auto"/>
        <w:right w:val="none" w:sz="0" w:space="0" w:color="auto"/>
      </w:divBdr>
      <w:divsChild>
        <w:div w:id="317610136">
          <w:marLeft w:val="0"/>
          <w:marRight w:val="0"/>
          <w:marTop w:val="0"/>
          <w:marBottom w:val="375"/>
          <w:divBdr>
            <w:top w:val="none" w:sz="0" w:space="0" w:color="auto"/>
            <w:left w:val="none" w:sz="0" w:space="0" w:color="auto"/>
            <w:bottom w:val="none" w:sz="0" w:space="0" w:color="auto"/>
            <w:right w:val="none" w:sz="0" w:space="0" w:color="auto"/>
          </w:divBdr>
        </w:div>
      </w:divsChild>
    </w:div>
    <w:div w:id="1658457392">
      <w:bodyDiv w:val="1"/>
      <w:marLeft w:val="0"/>
      <w:marRight w:val="0"/>
      <w:marTop w:val="0"/>
      <w:marBottom w:val="0"/>
      <w:divBdr>
        <w:top w:val="none" w:sz="0" w:space="0" w:color="auto"/>
        <w:left w:val="none" w:sz="0" w:space="0" w:color="auto"/>
        <w:bottom w:val="none" w:sz="0" w:space="0" w:color="auto"/>
        <w:right w:val="none" w:sz="0" w:space="0" w:color="auto"/>
      </w:divBdr>
    </w:div>
    <w:div w:id="1733892553">
      <w:bodyDiv w:val="1"/>
      <w:marLeft w:val="0"/>
      <w:marRight w:val="0"/>
      <w:marTop w:val="0"/>
      <w:marBottom w:val="0"/>
      <w:divBdr>
        <w:top w:val="none" w:sz="0" w:space="0" w:color="auto"/>
        <w:left w:val="none" w:sz="0" w:space="0" w:color="auto"/>
        <w:bottom w:val="none" w:sz="0" w:space="0" w:color="auto"/>
        <w:right w:val="none" w:sz="0" w:space="0" w:color="auto"/>
      </w:divBdr>
    </w:div>
    <w:div w:id="1812165629">
      <w:bodyDiv w:val="1"/>
      <w:marLeft w:val="0"/>
      <w:marRight w:val="0"/>
      <w:marTop w:val="0"/>
      <w:marBottom w:val="0"/>
      <w:divBdr>
        <w:top w:val="none" w:sz="0" w:space="0" w:color="auto"/>
        <w:left w:val="none" w:sz="0" w:space="0" w:color="auto"/>
        <w:bottom w:val="none" w:sz="0" w:space="0" w:color="auto"/>
        <w:right w:val="none" w:sz="0" w:space="0" w:color="auto"/>
      </w:divBdr>
    </w:div>
    <w:div w:id="1832257503">
      <w:bodyDiv w:val="1"/>
      <w:marLeft w:val="0"/>
      <w:marRight w:val="0"/>
      <w:marTop w:val="0"/>
      <w:marBottom w:val="0"/>
      <w:divBdr>
        <w:top w:val="none" w:sz="0" w:space="0" w:color="auto"/>
        <w:left w:val="none" w:sz="0" w:space="0" w:color="auto"/>
        <w:bottom w:val="none" w:sz="0" w:space="0" w:color="auto"/>
        <w:right w:val="none" w:sz="0" w:space="0" w:color="auto"/>
      </w:divBdr>
      <w:divsChild>
        <w:div w:id="726536532">
          <w:marLeft w:val="0"/>
          <w:marRight w:val="0"/>
          <w:marTop w:val="0"/>
          <w:marBottom w:val="480"/>
          <w:divBdr>
            <w:top w:val="none" w:sz="0" w:space="0" w:color="auto"/>
            <w:left w:val="none" w:sz="0" w:space="0" w:color="auto"/>
            <w:bottom w:val="none" w:sz="0" w:space="0" w:color="auto"/>
            <w:right w:val="none" w:sz="0" w:space="0" w:color="auto"/>
          </w:divBdr>
        </w:div>
        <w:div w:id="1174491589">
          <w:marLeft w:val="0"/>
          <w:marRight w:val="0"/>
          <w:marTop w:val="0"/>
          <w:marBottom w:val="480"/>
          <w:divBdr>
            <w:top w:val="none" w:sz="0" w:space="0" w:color="auto"/>
            <w:left w:val="none" w:sz="0" w:space="0" w:color="auto"/>
            <w:bottom w:val="none" w:sz="0" w:space="0" w:color="auto"/>
            <w:right w:val="none" w:sz="0" w:space="0" w:color="auto"/>
          </w:divBdr>
        </w:div>
        <w:div w:id="1757047885">
          <w:marLeft w:val="0"/>
          <w:marRight w:val="0"/>
          <w:marTop w:val="0"/>
          <w:marBottom w:val="480"/>
          <w:divBdr>
            <w:top w:val="none" w:sz="0" w:space="0" w:color="auto"/>
            <w:left w:val="none" w:sz="0" w:space="0" w:color="auto"/>
            <w:bottom w:val="none" w:sz="0" w:space="0" w:color="auto"/>
            <w:right w:val="none" w:sz="0" w:space="0" w:color="auto"/>
          </w:divBdr>
          <w:divsChild>
            <w:div w:id="1485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thiebaut@portdelieg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2341</Words>
  <Characters>12876</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Thiébaut</dc:creator>
  <cp:keywords/>
  <dc:description/>
  <cp:lastModifiedBy>Hélène Thiébaut</cp:lastModifiedBy>
  <cp:revision>15</cp:revision>
  <cp:lastPrinted>2021-03-01T09:46:00Z</cp:lastPrinted>
  <dcterms:created xsi:type="dcterms:W3CDTF">2022-02-15T13:29:00Z</dcterms:created>
  <dcterms:modified xsi:type="dcterms:W3CDTF">2022-02-16T09:05:00Z</dcterms:modified>
</cp:coreProperties>
</file>