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762" w:rsidRPr="00CE5762" w:rsidRDefault="00CE5762" w:rsidP="00CE5762">
      <w:pPr>
        <w:pStyle w:val="NormalWeb"/>
        <w:shd w:val="clear" w:color="auto" w:fill="FFFFFF"/>
        <w:rPr>
          <w:rFonts w:asciiTheme="minorHAnsi" w:hAnsiTheme="minorHAnsi"/>
          <w:sz w:val="22"/>
          <w:szCs w:val="22"/>
          <w:lang w:val="fr-FR"/>
        </w:rPr>
      </w:pPr>
      <w:r w:rsidRPr="00CE5762">
        <w:rPr>
          <w:rFonts w:asciiTheme="minorHAnsi" w:hAnsiTheme="minorHAnsi" w:cs="Arial"/>
          <w:noProof/>
          <w:color w:val="000000"/>
          <w:sz w:val="22"/>
          <w:szCs w:val="22"/>
        </w:rPr>
        <w:drawing>
          <wp:inline distT="0" distB="0" distL="0" distR="0" wp14:anchorId="10DC980F" wp14:editId="79C2320A">
            <wp:extent cx="1981200" cy="747961"/>
            <wp:effectExtent l="0" t="0" r="0" b="0"/>
            <wp:docPr id="1" name="Image 1" descr="Une image contenant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L_FR_Quadri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1009" cy="75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1DD" w:rsidRPr="00CE5762" w:rsidRDefault="001111DD" w:rsidP="001111DD">
      <w:pPr>
        <w:pStyle w:val="NormalWeb"/>
        <w:shd w:val="clear" w:color="auto" w:fill="FFFFFF"/>
        <w:jc w:val="right"/>
        <w:rPr>
          <w:rFonts w:asciiTheme="minorHAnsi" w:hAnsiTheme="minorHAnsi"/>
          <w:sz w:val="22"/>
          <w:szCs w:val="22"/>
          <w:lang w:val="fr-FR"/>
        </w:rPr>
      </w:pPr>
      <w:r w:rsidRPr="00CE5762">
        <w:rPr>
          <w:rFonts w:asciiTheme="minorHAnsi" w:hAnsiTheme="minorHAnsi"/>
          <w:sz w:val="22"/>
          <w:szCs w:val="22"/>
          <w:lang w:val="fr-FR"/>
        </w:rPr>
        <w:t xml:space="preserve">Liège, le </w:t>
      </w:r>
      <w:r w:rsidR="005E147B">
        <w:rPr>
          <w:rFonts w:asciiTheme="minorHAnsi" w:hAnsiTheme="minorHAnsi"/>
          <w:sz w:val="22"/>
          <w:szCs w:val="22"/>
          <w:lang w:val="fr-FR"/>
        </w:rPr>
        <w:t>11</w:t>
      </w:r>
      <w:r w:rsidR="007770BF">
        <w:rPr>
          <w:rFonts w:asciiTheme="minorHAnsi" w:hAnsiTheme="minorHAnsi"/>
          <w:sz w:val="22"/>
          <w:szCs w:val="22"/>
          <w:lang w:val="fr-FR"/>
        </w:rPr>
        <w:t xml:space="preserve"> </w:t>
      </w:r>
      <w:r w:rsidRPr="00CE5762">
        <w:rPr>
          <w:rFonts w:asciiTheme="minorHAnsi" w:hAnsiTheme="minorHAnsi"/>
          <w:sz w:val="22"/>
          <w:szCs w:val="22"/>
          <w:lang w:val="fr-FR"/>
        </w:rPr>
        <w:t>septembre 2020</w:t>
      </w:r>
    </w:p>
    <w:p w:rsidR="00DD28E3" w:rsidRPr="00CE5762" w:rsidRDefault="001111DD" w:rsidP="00DD28E3">
      <w:pPr>
        <w:pStyle w:val="NormalWeb"/>
        <w:shd w:val="clear" w:color="auto" w:fill="FFFFFF"/>
        <w:rPr>
          <w:rFonts w:asciiTheme="minorHAnsi" w:hAnsiTheme="minorHAnsi"/>
          <w:b/>
          <w:bCs/>
          <w:sz w:val="22"/>
          <w:szCs w:val="22"/>
          <w:lang w:val="fr-FR"/>
        </w:rPr>
      </w:pPr>
      <w:r w:rsidRPr="00CE5762">
        <w:rPr>
          <w:rFonts w:asciiTheme="minorHAnsi" w:hAnsiTheme="minorHAnsi"/>
          <w:b/>
          <w:bCs/>
          <w:sz w:val="22"/>
          <w:szCs w:val="22"/>
          <w:lang w:val="fr-FR"/>
        </w:rPr>
        <w:t>Communiqué de presse</w:t>
      </w:r>
    </w:p>
    <w:p w:rsidR="001111DD" w:rsidRPr="00CE5762" w:rsidRDefault="00543A60" w:rsidP="00605144">
      <w:pPr>
        <w:shd w:val="clear" w:color="auto" w:fill="FFFFFF"/>
        <w:spacing w:before="450" w:after="225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 w:rsidRPr="00CE5762">
        <w:rPr>
          <w:rFonts w:eastAsia="Times New Roman" w:cs="Times New Roman"/>
          <w:b/>
          <w:bCs/>
          <w:kern w:val="36"/>
          <w:sz w:val="28"/>
          <w:szCs w:val="28"/>
          <w:lang w:val="fr-FR" w:eastAsia="fr-BE"/>
        </w:rPr>
        <w:t>Les t</w:t>
      </w:r>
      <w:proofErr w:type="spellStart"/>
      <w:r w:rsidRPr="00CE5762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rafics</w:t>
      </w:r>
      <w:proofErr w:type="spellEnd"/>
      <w:r w:rsidRPr="00CE5762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 xml:space="preserve"> du port de Liège du premier semestre 2020 </w:t>
      </w:r>
      <w:r w:rsidR="007A65DD" w:rsidRPr="00CE5762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br/>
      </w:r>
      <w:r w:rsidR="001111DD" w:rsidRPr="00CE5762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impactés par la crise</w:t>
      </w:r>
      <w:r w:rsidRPr="00CE5762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 xml:space="preserve"> sanitaire</w:t>
      </w:r>
      <w:r w:rsidR="001111DD" w:rsidRPr="00CE5762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 xml:space="preserve"> du coronavirus</w:t>
      </w:r>
      <w:r w:rsidR="00605144" w:rsidRPr="00CE5762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 xml:space="preserve">. </w:t>
      </w:r>
      <w:r w:rsidR="00605144" w:rsidRPr="00CE5762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br/>
        <w:t xml:space="preserve">Le trafic fluvial de conteneurs affiche toutefois une croissance significative. </w:t>
      </w:r>
      <w:r w:rsidR="00C30B1B" w:rsidRPr="00CE5762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br/>
      </w:r>
      <w:r w:rsidR="00AD7219" w:rsidRPr="00CE5762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Le Port autonome de Liège maintient ses investissements 2020-2024.</w:t>
      </w:r>
    </w:p>
    <w:p w:rsidR="0039216B" w:rsidRPr="00CE5762" w:rsidRDefault="005551BE" w:rsidP="00E36617">
      <w:pPr>
        <w:shd w:val="clear" w:color="auto" w:fill="FFFFFF"/>
        <w:spacing w:before="450" w:after="225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fr-BE"/>
        </w:rPr>
      </w:pPr>
      <w:r w:rsidRPr="00CE5762">
        <w:rPr>
          <w:rFonts w:eastAsia="Times New Roman" w:cs="Times New Roman"/>
          <w:b/>
          <w:bCs/>
          <w:kern w:val="36"/>
          <w:lang w:eastAsia="fr-BE"/>
        </w:rPr>
        <w:t>Impacté par la crise sanitaire mondiale, l</w:t>
      </w:r>
      <w:r w:rsidR="00436B60" w:rsidRPr="00CE5762">
        <w:rPr>
          <w:rFonts w:eastAsia="Times New Roman" w:cs="Times New Roman"/>
          <w:b/>
          <w:bCs/>
          <w:kern w:val="36"/>
          <w:lang w:eastAsia="fr-BE"/>
        </w:rPr>
        <w:t>e port de Liège a enregistré un trafic de 9,</w:t>
      </w:r>
      <w:r w:rsidR="005E147B">
        <w:rPr>
          <w:rFonts w:eastAsia="Times New Roman" w:cs="Times New Roman"/>
          <w:b/>
          <w:bCs/>
          <w:kern w:val="36"/>
          <w:lang w:eastAsia="fr-BE"/>
        </w:rPr>
        <w:t>3</w:t>
      </w:r>
      <w:r w:rsidR="00436B60" w:rsidRPr="00CE5762">
        <w:rPr>
          <w:rFonts w:eastAsia="Times New Roman" w:cs="Times New Roman"/>
          <w:b/>
          <w:bCs/>
          <w:kern w:val="36"/>
          <w:lang w:eastAsia="fr-BE"/>
        </w:rPr>
        <w:t xml:space="preserve"> millions de tonnes au cours du premier semestre, soit une baisse de 12% par rapport à l’année précédente. Tous les secteurs d’activités ont baissé à l’exception du transport fluvial de conteneurs qui a </w:t>
      </w:r>
      <w:r w:rsidR="00E5198A" w:rsidRPr="00CE5762">
        <w:rPr>
          <w:rFonts w:eastAsia="Times New Roman" w:cs="Times New Roman"/>
          <w:b/>
          <w:bCs/>
          <w:kern w:val="36"/>
          <w:lang w:eastAsia="fr-BE"/>
        </w:rPr>
        <w:t>affiché une très belle croissance</w:t>
      </w:r>
      <w:r w:rsidR="00A17CE2" w:rsidRPr="00CE5762">
        <w:rPr>
          <w:rFonts w:eastAsia="Times New Roman" w:cs="Times New Roman"/>
          <w:b/>
          <w:bCs/>
          <w:kern w:val="36"/>
          <w:lang w:eastAsia="fr-BE"/>
        </w:rPr>
        <w:t xml:space="preserve"> (+17%)</w:t>
      </w:r>
      <w:r w:rsidR="00E5198A" w:rsidRPr="00CE5762">
        <w:rPr>
          <w:rFonts w:eastAsia="Times New Roman" w:cs="Times New Roman"/>
          <w:b/>
          <w:bCs/>
          <w:kern w:val="36"/>
          <w:lang w:eastAsia="fr-BE"/>
        </w:rPr>
        <w:t>.</w:t>
      </w:r>
    </w:p>
    <w:p w:rsidR="007B363E" w:rsidRPr="00CE5762" w:rsidRDefault="007B363E" w:rsidP="00E36617">
      <w:pPr>
        <w:shd w:val="clear" w:color="auto" w:fill="FFFFFF"/>
        <w:spacing w:before="450" w:after="225" w:line="240" w:lineRule="auto"/>
        <w:jc w:val="both"/>
        <w:outlineLvl w:val="0"/>
        <w:rPr>
          <w:rFonts w:eastAsia="Times New Roman" w:cs="Times New Roman"/>
          <w:b/>
          <w:bCs/>
          <w:kern w:val="36"/>
          <w:lang w:eastAsia="fr-BE"/>
        </w:rPr>
      </w:pPr>
      <w:r w:rsidRPr="00CE5762">
        <w:rPr>
          <w:rFonts w:eastAsia="Times New Roman" w:cs="Times New Roman"/>
          <w:b/>
          <w:bCs/>
          <w:kern w:val="36"/>
          <w:lang w:eastAsia="fr-BE"/>
        </w:rPr>
        <w:t xml:space="preserve">Malgré ce ralentissement d’activités, le Port autonome de Liège a décidé de maintenir la majorité </w:t>
      </w:r>
      <w:proofErr w:type="gramStart"/>
      <w:r w:rsidRPr="00CE5762">
        <w:rPr>
          <w:rFonts w:eastAsia="Times New Roman" w:cs="Times New Roman"/>
          <w:b/>
          <w:bCs/>
          <w:kern w:val="36"/>
          <w:lang w:eastAsia="fr-BE"/>
        </w:rPr>
        <w:t>de</w:t>
      </w:r>
      <w:proofErr w:type="gramEnd"/>
      <w:r w:rsidRPr="00CE5762">
        <w:rPr>
          <w:rFonts w:eastAsia="Times New Roman" w:cs="Times New Roman"/>
          <w:b/>
          <w:bCs/>
          <w:kern w:val="36"/>
          <w:lang w:eastAsia="fr-BE"/>
        </w:rPr>
        <w:t xml:space="preserve"> ses investissements</w:t>
      </w:r>
      <w:r w:rsidR="000B7766" w:rsidRPr="00CE5762">
        <w:rPr>
          <w:rFonts w:eastAsia="Times New Roman" w:cs="Times New Roman"/>
          <w:b/>
          <w:bCs/>
          <w:kern w:val="36"/>
          <w:lang w:eastAsia="fr-BE"/>
        </w:rPr>
        <w:t xml:space="preserve"> 2020-2024</w:t>
      </w:r>
      <w:r w:rsidRPr="00CE5762">
        <w:rPr>
          <w:rFonts w:eastAsia="Times New Roman" w:cs="Times New Roman"/>
          <w:b/>
          <w:bCs/>
          <w:kern w:val="36"/>
          <w:lang w:eastAsia="fr-BE"/>
        </w:rPr>
        <w:t xml:space="preserve"> et de soutenir ses concessionnaires </w:t>
      </w:r>
      <w:r w:rsidR="000D3E4C" w:rsidRPr="00CE5762">
        <w:rPr>
          <w:rFonts w:eastAsia="Times New Roman" w:cs="Times New Roman"/>
          <w:b/>
          <w:bCs/>
          <w:kern w:val="36"/>
          <w:lang w:eastAsia="fr-BE"/>
        </w:rPr>
        <w:t>affectés</w:t>
      </w:r>
      <w:r w:rsidRPr="00CE5762">
        <w:rPr>
          <w:rFonts w:eastAsia="Times New Roman" w:cs="Times New Roman"/>
          <w:b/>
          <w:bCs/>
          <w:kern w:val="36"/>
          <w:lang w:eastAsia="fr-BE"/>
        </w:rPr>
        <w:t xml:space="preserve"> par la crise économique. </w:t>
      </w:r>
    </w:p>
    <w:p w:rsidR="00E5198A" w:rsidRPr="00CE5762" w:rsidRDefault="00543A60" w:rsidP="005B2254">
      <w:pPr>
        <w:pStyle w:val="NormalWeb"/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CE5762">
        <w:rPr>
          <w:rFonts w:asciiTheme="minorHAnsi" w:hAnsiTheme="minorHAnsi"/>
          <w:sz w:val="22"/>
          <w:szCs w:val="22"/>
        </w:rPr>
        <w:t xml:space="preserve">Les trafics du port de Liège pour le premier semestre 2020 ont été impactés par la crise sanitaire mondiale liée à la pandémie du COVID-19. </w:t>
      </w:r>
      <w:r w:rsidR="005C0E78" w:rsidRPr="00CE5762">
        <w:rPr>
          <w:rFonts w:asciiTheme="minorHAnsi" w:hAnsiTheme="minorHAnsi"/>
          <w:sz w:val="22"/>
          <w:szCs w:val="22"/>
        </w:rPr>
        <w:t xml:space="preserve">A l’image du ralentissement de la consommation mondiale et malgré les efforts réalisés par les acteurs économiques </w:t>
      </w:r>
      <w:r w:rsidR="005061B6" w:rsidRPr="00CE5762">
        <w:rPr>
          <w:rFonts w:asciiTheme="minorHAnsi" w:hAnsiTheme="minorHAnsi"/>
          <w:sz w:val="22"/>
          <w:szCs w:val="22"/>
        </w:rPr>
        <w:t xml:space="preserve">du port de Liège </w:t>
      </w:r>
      <w:r w:rsidR="005C0E78" w:rsidRPr="00CE5762">
        <w:rPr>
          <w:rFonts w:asciiTheme="minorHAnsi" w:hAnsiTheme="minorHAnsi"/>
          <w:sz w:val="22"/>
          <w:szCs w:val="22"/>
        </w:rPr>
        <w:t>pour rester opérationnels</w:t>
      </w:r>
      <w:r w:rsidR="0069586B" w:rsidRPr="00CE5762">
        <w:rPr>
          <w:rFonts w:asciiTheme="minorHAnsi" w:hAnsiTheme="minorHAnsi"/>
          <w:sz w:val="22"/>
          <w:szCs w:val="22"/>
        </w:rPr>
        <w:t xml:space="preserve"> </w:t>
      </w:r>
      <w:r w:rsidR="005C0E78" w:rsidRPr="00CE5762">
        <w:rPr>
          <w:rFonts w:asciiTheme="minorHAnsi" w:hAnsiTheme="minorHAnsi"/>
          <w:sz w:val="22"/>
          <w:szCs w:val="22"/>
        </w:rPr>
        <w:t>et pour assurer la continuité de l’activité</w:t>
      </w:r>
      <w:r w:rsidR="0069586B" w:rsidRPr="00CE5762">
        <w:rPr>
          <w:rFonts w:asciiTheme="minorHAnsi" w:hAnsiTheme="minorHAnsi"/>
          <w:sz w:val="22"/>
          <w:szCs w:val="22"/>
        </w:rPr>
        <w:t xml:space="preserve"> </w:t>
      </w:r>
      <w:r w:rsidR="005061B6" w:rsidRPr="00CE5762">
        <w:rPr>
          <w:rFonts w:asciiTheme="minorHAnsi" w:hAnsiTheme="minorHAnsi"/>
          <w:sz w:val="22"/>
          <w:szCs w:val="22"/>
        </w:rPr>
        <w:t xml:space="preserve">portuaire </w:t>
      </w:r>
      <w:r w:rsidR="00EF12E7" w:rsidRPr="00CE5762">
        <w:rPr>
          <w:rFonts w:asciiTheme="minorHAnsi" w:hAnsiTheme="minorHAnsi"/>
          <w:sz w:val="22"/>
          <w:szCs w:val="22"/>
        </w:rPr>
        <w:t>tout au long de la crise</w:t>
      </w:r>
      <w:r w:rsidR="00DD0F33" w:rsidRPr="00CE5762">
        <w:rPr>
          <w:rFonts w:asciiTheme="minorHAnsi" w:hAnsiTheme="minorHAnsi"/>
          <w:sz w:val="22"/>
          <w:szCs w:val="22"/>
        </w:rPr>
        <w:t xml:space="preserve"> et de la période de confinement</w:t>
      </w:r>
      <w:r w:rsidR="005C0E78" w:rsidRPr="00CE5762">
        <w:rPr>
          <w:rFonts w:asciiTheme="minorHAnsi" w:hAnsiTheme="minorHAnsi"/>
          <w:sz w:val="22"/>
          <w:szCs w:val="22"/>
        </w:rPr>
        <w:t xml:space="preserve">, la crise sanitaire </w:t>
      </w:r>
      <w:r w:rsidR="001111DD" w:rsidRPr="00CE5762">
        <w:rPr>
          <w:rFonts w:asciiTheme="minorHAnsi" w:hAnsiTheme="minorHAnsi"/>
          <w:sz w:val="22"/>
          <w:szCs w:val="22"/>
        </w:rPr>
        <w:t>a entraîné un recul de 12% des trafics globaux (eau-rail-route) du port de Liège au premier semestre 2020</w:t>
      </w:r>
      <w:r w:rsidR="00E57DBD" w:rsidRPr="00CE5762">
        <w:rPr>
          <w:rFonts w:asciiTheme="minorHAnsi" w:hAnsiTheme="minorHAnsi"/>
          <w:sz w:val="22"/>
          <w:szCs w:val="22"/>
        </w:rPr>
        <w:t xml:space="preserve">. </w:t>
      </w:r>
      <w:r w:rsidR="001111DD" w:rsidRPr="00CE5762">
        <w:rPr>
          <w:rFonts w:asciiTheme="minorHAnsi" w:hAnsiTheme="minorHAnsi"/>
          <w:sz w:val="22"/>
          <w:szCs w:val="22"/>
        </w:rPr>
        <w:t>Durant les six premiers mois de l’année, le port de Liège a traité plus de 9,</w:t>
      </w:r>
      <w:r w:rsidR="0024532A">
        <w:rPr>
          <w:rFonts w:asciiTheme="minorHAnsi" w:hAnsiTheme="minorHAnsi"/>
          <w:sz w:val="22"/>
          <w:szCs w:val="22"/>
        </w:rPr>
        <w:t>3</w:t>
      </w:r>
      <w:r w:rsidR="001111DD" w:rsidRPr="00CE5762">
        <w:rPr>
          <w:rFonts w:asciiTheme="minorHAnsi" w:hAnsiTheme="minorHAnsi"/>
          <w:sz w:val="22"/>
          <w:szCs w:val="22"/>
        </w:rPr>
        <w:t xml:space="preserve"> millions de tonnes contre 10,5 millions de ton</w:t>
      </w:r>
      <w:bookmarkStart w:id="0" w:name="_GoBack"/>
      <w:bookmarkEnd w:id="0"/>
      <w:r w:rsidR="001111DD" w:rsidRPr="00CE5762">
        <w:rPr>
          <w:rFonts w:asciiTheme="minorHAnsi" w:hAnsiTheme="minorHAnsi"/>
          <w:sz w:val="22"/>
          <w:szCs w:val="22"/>
        </w:rPr>
        <w:t>nes à la même période l’an dernier, soit une baisse de 12% par rapport à 2019</w:t>
      </w:r>
      <w:r w:rsidR="005C0E78" w:rsidRPr="00CE5762">
        <w:rPr>
          <w:rFonts w:asciiTheme="minorHAnsi" w:hAnsiTheme="minorHAnsi"/>
          <w:sz w:val="22"/>
          <w:szCs w:val="22"/>
        </w:rPr>
        <w:t xml:space="preserve"> (-1,3 million de tonnes)</w:t>
      </w:r>
      <w:r w:rsidR="001111DD" w:rsidRPr="00CE5762">
        <w:rPr>
          <w:rFonts w:asciiTheme="minorHAnsi" w:hAnsiTheme="minorHAnsi"/>
          <w:sz w:val="22"/>
          <w:szCs w:val="22"/>
        </w:rPr>
        <w:t>.</w:t>
      </w:r>
      <w:r w:rsidR="008C3D3B" w:rsidRPr="00CE5762">
        <w:rPr>
          <w:rFonts w:asciiTheme="minorHAnsi" w:hAnsiTheme="minorHAnsi"/>
          <w:sz w:val="22"/>
          <w:szCs w:val="22"/>
        </w:rPr>
        <w:t xml:space="preserve"> </w:t>
      </w:r>
      <w:r w:rsidR="00F27464" w:rsidRPr="00CE5762">
        <w:rPr>
          <w:rFonts w:asciiTheme="minorHAnsi" w:hAnsiTheme="minorHAnsi"/>
          <w:sz w:val="22"/>
          <w:szCs w:val="22"/>
        </w:rPr>
        <w:t xml:space="preserve"> </w:t>
      </w:r>
    </w:p>
    <w:p w:rsidR="007867A5" w:rsidRPr="00CE5762" w:rsidRDefault="00F27464" w:rsidP="00C60FDA">
      <w:pPr>
        <w:pStyle w:val="NormalWeb"/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CE5762">
        <w:rPr>
          <w:rFonts w:asciiTheme="minorHAnsi" w:hAnsiTheme="minorHAnsi"/>
          <w:sz w:val="22"/>
          <w:szCs w:val="22"/>
        </w:rPr>
        <w:t xml:space="preserve">Les baisses se retrouvent dans </w:t>
      </w:r>
      <w:r w:rsidR="0069586B" w:rsidRPr="00CE5762">
        <w:rPr>
          <w:rFonts w:asciiTheme="minorHAnsi" w:hAnsiTheme="minorHAnsi"/>
          <w:sz w:val="22"/>
          <w:szCs w:val="22"/>
        </w:rPr>
        <w:t xml:space="preserve">la plupart des </w:t>
      </w:r>
      <w:r w:rsidRPr="00CE5762">
        <w:rPr>
          <w:rFonts w:asciiTheme="minorHAnsi" w:hAnsiTheme="minorHAnsi"/>
          <w:sz w:val="22"/>
          <w:szCs w:val="22"/>
        </w:rPr>
        <w:t>secteurs</w:t>
      </w:r>
      <w:r w:rsidR="00226066" w:rsidRPr="00CE5762">
        <w:rPr>
          <w:rFonts w:asciiTheme="minorHAnsi" w:hAnsiTheme="minorHAnsi"/>
          <w:sz w:val="22"/>
          <w:szCs w:val="22"/>
        </w:rPr>
        <w:t xml:space="preserve"> d’activités</w:t>
      </w:r>
      <w:r w:rsidRPr="00CE5762">
        <w:rPr>
          <w:rFonts w:asciiTheme="minorHAnsi" w:hAnsiTheme="minorHAnsi"/>
          <w:sz w:val="22"/>
          <w:szCs w:val="22"/>
        </w:rPr>
        <w:t xml:space="preserve"> </w:t>
      </w:r>
      <w:r w:rsidR="009B6A0F" w:rsidRPr="00CE5762">
        <w:rPr>
          <w:rFonts w:asciiTheme="minorHAnsi" w:hAnsiTheme="minorHAnsi"/>
          <w:sz w:val="22"/>
          <w:szCs w:val="22"/>
        </w:rPr>
        <w:t xml:space="preserve">&amp; filières </w:t>
      </w:r>
      <w:r w:rsidR="0061188C" w:rsidRPr="00CE5762">
        <w:rPr>
          <w:rFonts w:asciiTheme="minorHAnsi" w:hAnsiTheme="minorHAnsi"/>
          <w:sz w:val="22"/>
          <w:szCs w:val="22"/>
        </w:rPr>
        <w:t xml:space="preserve">présents au port de Liège </w:t>
      </w:r>
      <w:r w:rsidR="009B6A0F" w:rsidRPr="00CE5762">
        <w:rPr>
          <w:rFonts w:asciiTheme="minorHAnsi" w:hAnsiTheme="minorHAnsi"/>
          <w:sz w:val="22"/>
          <w:szCs w:val="22"/>
        </w:rPr>
        <w:t>(</w:t>
      </w:r>
      <w:r w:rsidR="007F5AFA" w:rsidRPr="00CE5762">
        <w:rPr>
          <w:rFonts w:asciiTheme="minorHAnsi" w:hAnsiTheme="minorHAnsi"/>
          <w:sz w:val="22"/>
          <w:szCs w:val="22"/>
        </w:rPr>
        <w:t xml:space="preserve">produits de l’agriculture </w:t>
      </w:r>
      <w:r w:rsidR="005061B6" w:rsidRPr="00CE5762">
        <w:rPr>
          <w:rFonts w:asciiTheme="minorHAnsi" w:hAnsiTheme="minorHAnsi"/>
          <w:sz w:val="22"/>
          <w:szCs w:val="22"/>
        </w:rPr>
        <w:t>-</w:t>
      </w:r>
      <w:r w:rsidR="007F5AFA" w:rsidRPr="00CE5762">
        <w:rPr>
          <w:rFonts w:asciiTheme="minorHAnsi" w:hAnsiTheme="minorHAnsi"/>
          <w:sz w:val="22"/>
          <w:szCs w:val="22"/>
        </w:rPr>
        <w:t xml:space="preserve">43%, houille </w:t>
      </w:r>
      <w:r w:rsidR="005061B6" w:rsidRPr="00CE5762">
        <w:rPr>
          <w:rFonts w:asciiTheme="minorHAnsi" w:hAnsiTheme="minorHAnsi"/>
          <w:sz w:val="22"/>
          <w:szCs w:val="22"/>
        </w:rPr>
        <w:t>-</w:t>
      </w:r>
      <w:r w:rsidR="007F5AFA" w:rsidRPr="00CE5762">
        <w:rPr>
          <w:rFonts w:asciiTheme="minorHAnsi" w:hAnsiTheme="minorHAnsi"/>
          <w:sz w:val="22"/>
          <w:szCs w:val="22"/>
        </w:rPr>
        <w:t xml:space="preserve">29%, produits chimiques </w:t>
      </w:r>
      <w:r w:rsidR="005061B6" w:rsidRPr="00CE5762">
        <w:rPr>
          <w:rFonts w:asciiTheme="minorHAnsi" w:hAnsiTheme="minorHAnsi"/>
          <w:sz w:val="22"/>
          <w:szCs w:val="22"/>
        </w:rPr>
        <w:t>-</w:t>
      </w:r>
      <w:r w:rsidR="007F5AFA" w:rsidRPr="00CE5762">
        <w:rPr>
          <w:rFonts w:asciiTheme="minorHAnsi" w:hAnsiTheme="minorHAnsi"/>
          <w:sz w:val="22"/>
          <w:szCs w:val="22"/>
        </w:rPr>
        <w:t xml:space="preserve">28%, </w:t>
      </w:r>
      <w:r w:rsidR="009B6A0F" w:rsidRPr="00CE5762">
        <w:rPr>
          <w:rFonts w:asciiTheme="minorHAnsi" w:hAnsiTheme="minorHAnsi"/>
          <w:sz w:val="22"/>
          <w:szCs w:val="22"/>
        </w:rPr>
        <w:t xml:space="preserve">produits minéraux -16%, </w:t>
      </w:r>
      <w:r w:rsidR="007F5AFA" w:rsidRPr="00CE5762">
        <w:rPr>
          <w:rFonts w:asciiTheme="minorHAnsi" w:hAnsiTheme="minorHAnsi"/>
          <w:sz w:val="22"/>
          <w:szCs w:val="22"/>
        </w:rPr>
        <w:t>métau</w:t>
      </w:r>
      <w:r w:rsidR="005061B6" w:rsidRPr="00CE5762">
        <w:rPr>
          <w:rFonts w:asciiTheme="minorHAnsi" w:hAnsiTheme="minorHAnsi"/>
          <w:sz w:val="22"/>
          <w:szCs w:val="22"/>
        </w:rPr>
        <w:t>x -</w:t>
      </w:r>
      <w:r w:rsidR="007F5AFA" w:rsidRPr="00CE5762">
        <w:rPr>
          <w:rFonts w:asciiTheme="minorHAnsi" w:hAnsiTheme="minorHAnsi"/>
          <w:sz w:val="22"/>
          <w:szCs w:val="22"/>
        </w:rPr>
        <w:t xml:space="preserve">16%, </w:t>
      </w:r>
      <w:r w:rsidR="009B6A0F" w:rsidRPr="00CE5762">
        <w:rPr>
          <w:rFonts w:asciiTheme="minorHAnsi" w:hAnsiTheme="minorHAnsi"/>
          <w:sz w:val="22"/>
          <w:szCs w:val="22"/>
        </w:rPr>
        <w:t xml:space="preserve">produits pétroliers </w:t>
      </w:r>
      <w:r w:rsidR="005061B6" w:rsidRPr="00CE5762">
        <w:rPr>
          <w:rFonts w:asciiTheme="minorHAnsi" w:hAnsiTheme="minorHAnsi"/>
          <w:sz w:val="22"/>
          <w:szCs w:val="22"/>
        </w:rPr>
        <w:t>-</w:t>
      </w:r>
      <w:r w:rsidR="009B6A0F" w:rsidRPr="00CE5762">
        <w:rPr>
          <w:rFonts w:asciiTheme="minorHAnsi" w:hAnsiTheme="minorHAnsi"/>
          <w:sz w:val="22"/>
          <w:szCs w:val="22"/>
        </w:rPr>
        <w:t xml:space="preserve">10%) …)  </w:t>
      </w:r>
      <w:proofErr w:type="gramStart"/>
      <w:r w:rsidRPr="00CE5762">
        <w:rPr>
          <w:rFonts w:asciiTheme="minorHAnsi" w:hAnsiTheme="minorHAnsi"/>
          <w:sz w:val="22"/>
          <w:szCs w:val="22"/>
        </w:rPr>
        <w:t>à</w:t>
      </w:r>
      <w:proofErr w:type="gramEnd"/>
      <w:r w:rsidRPr="00CE5762">
        <w:rPr>
          <w:rFonts w:asciiTheme="minorHAnsi" w:hAnsiTheme="minorHAnsi"/>
          <w:sz w:val="22"/>
          <w:szCs w:val="22"/>
        </w:rPr>
        <w:t xml:space="preserve"> l’exception du transport fluvial de conteneurs</w:t>
      </w:r>
      <w:r w:rsidR="007867A5" w:rsidRPr="00CE5762">
        <w:rPr>
          <w:rFonts w:asciiTheme="minorHAnsi" w:hAnsiTheme="minorHAnsi"/>
          <w:sz w:val="22"/>
          <w:szCs w:val="22"/>
        </w:rPr>
        <w:t xml:space="preserve"> (+ 17%)</w:t>
      </w:r>
      <w:r w:rsidRPr="00CE5762">
        <w:rPr>
          <w:rFonts w:asciiTheme="minorHAnsi" w:hAnsiTheme="minorHAnsi"/>
          <w:sz w:val="22"/>
          <w:szCs w:val="22"/>
        </w:rPr>
        <w:t xml:space="preserve"> </w:t>
      </w:r>
      <w:r w:rsidR="0061188C" w:rsidRPr="00CE5762">
        <w:rPr>
          <w:rFonts w:asciiTheme="minorHAnsi" w:hAnsiTheme="minorHAnsi"/>
          <w:sz w:val="22"/>
          <w:szCs w:val="22"/>
        </w:rPr>
        <w:t xml:space="preserve">et du transport fluvio-maritime </w:t>
      </w:r>
      <w:r w:rsidRPr="00CE5762">
        <w:rPr>
          <w:rFonts w:asciiTheme="minorHAnsi" w:hAnsiTheme="minorHAnsi"/>
          <w:sz w:val="22"/>
          <w:szCs w:val="22"/>
        </w:rPr>
        <w:t xml:space="preserve">qui </w:t>
      </w:r>
      <w:r w:rsidR="007867A5" w:rsidRPr="00CE5762">
        <w:rPr>
          <w:rFonts w:asciiTheme="minorHAnsi" w:hAnsiTheme="minorHAnsi"/>
          <w:sz w:val="22"/>
          <w:szCs w:val="22"/>
        </w:rPr>
        <w:t xml:space="preserve">ont </w:t>
      </w:r>
      <w:r w:rsidRPr="00CE5762">
        <w:rPr>
          <w:rFonts w:asciiTheme="minorHAnsi" w:hAnsiTheme="minorHAnsi"/>
          <w:sz w:val="22"/>
          <w:szCs w:val="22"/>
        </w:rPr>
        <w:t xml:space="preserve">continué d’augmenter.  </w:t>
      </w:r>
      <w:r w:rsidR="008C3D3B" w:rsidRPr="00CE5762">
        <w:rPr>
          <w:rFonts w:asciiTheme="minorHAnsi" w:hAnsiTheme="minorHAnsi"/>
          <w:sz w:val="22"/>
          <w:szCs w:val="22"/>
        </w:rPr>
        <w:t>Ainsi,</w:t>
      </w:r>
      <w:r w:rsidR="00EA6217" w:rsidRPr="00CE5762">
        <w:rPr>
          <w:rFonts w:asciiTheme="minorHAnsi" w:hAnsiTheme="minorHAnsi"/>
          <w:sz w:val="22"/>
          <w:szCs w:val="22"/>
        </w:rPr>
        <w:t xml:space="preserve"> </w:t>
      </w:r>
      <w:r w:rsidR="008C3D3B" w:rsidRPr="00CE5762">
        <w:rPr>
          <w:rFonts w:asciiTheme="minorHAnsi" w:hAnsiTheme="minorHAnsi"/>
          <w:sz w:val="22"/>
          <w:szCs w:val="22"/>
        </w:rPr>
        <w:t>l</w:t>
      </w:r>
      <w:r w:rsidR="007852B9" w:rsidRPr="00CE5762">
        <w:rPr>
          <w:rFonts w:asciiTheme="minorHAnsi" w:hAnsiTheme="minorHAnsi"/>
          <w:sz w:val="22"/>
          <w:szCs w:val="22"/>
        </w:rPr>
        <w:t xml:space="preserve">e trafic </w:t>
      </w:r>
      <w:r w:rsidR="00CD0586" w:rsidRPr="00CE5762">
        <w:rPr>
          <w:rFonts w:asciiTheme="minorHAnsi" w:hAnsiTheme="minorHAnsi"/>
          <w:sz w:val="22"/>
          <w:szCs w:val="22"/>
        </w:rPr>
        <w:t xml:space="preserve">fluvial de </w:t>
      </w:r>
      <w:r w:rsidR="007852B9" w:rsidRPr="00CE5762">
        <w:rPr>
          <w:rFonts w:asciiTheme="minorHAnsi" w:hAnsiTheme="minorHAnsi"/>
          <w:sz w:val="22"/>
          <w:szCs w:val="22"/>
        </w:rPr>
        <w:t>conteneurs</w:t>
      </w:r>
      <w:r w:rsidR="007852B9" w:rsidRPr="00CE576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BD7C0F" w:rsidRPr="00CE5762">
        <w:rPr>
          <w:rFonts w:asciiTheme="minorHAnsi" w:hAnsiTheme="minorHAnsi"/>
          <w:sz w:val="22"/>
          <w:szCs w:val="22"/>
        </w:rPr>
        <w:t>réalisé sur l’ensemble des trois terminaux à conteneurs liégeois (</w:t>
      </w:r>
      <w:proofErr w:type="spellStart"/>
      <w:r w:rsidR="00BD7C0F" w:rsidRPr="00CE5762">
        <w:rPr>
          <w:rFonts w:asciiTheme="minorHAnsi" w:hAnsiTheme="minorHAnsi"/>
          <w:sz w:val="22"/>
          <w:szCs w:val="22"/>
        </w:rPr>
        <w:t>Renory</w:t>
      </w:r>
      <w:proofErr w:type="spellEnd"/>
      <w:r w:rsidR="00BD7C0F" w:rsidRPr="00CE5762">
        <w:rPr>
          <w:rFonts w:asciiTheme="minorHAnsi" w:hAnsiTheme="minorHAnsi"/>
          <w:sz w:val="22"/>
          <w:szCs w:val="22"/>
        </w:rPr>
        <w:t xml:space="preserve"> – </w:t>
      </w:r>
      <w:proofErr w:type="spellStart"/>
      <w:r w:rsidR="00BD7C0F" w:rsidRPr="00CE5762">
        <w:rPr>
          <w:rFonts w:asciiTheme="minorHAnsi" w:hAnsiTheme="minorHAnsi"/>
          <w:sz w:val="22"/>
          <w:szCs w:val="22"/>
        </w:rPr>
        <w:t>Monsin</w:t>
      </w:r>
      <w:proofErr w:type="spellEnd"/>
      <w:r w:rsidR="00BD7C0F" w:rsidRPr="00CE5762">
        <w:rPr>
          <w:rFonts w:asciiTheme="minorHAnsi" w:hAnsiTheme="minorHAnsi"/>
          <w:sz w:val="22"/>
          <w:szCs w:val="22"/>
        </w:rPr>
        <w:t xml:space="preserve"> et Liège </w:t>
      </w:r>
      <w:proofErr w:type="spellStart"/>
      <w:r w:rsidR="00BD7C0F" w:rsidRPr="00CE5762">
        <w:rPr>
          <w:rFonts w:asciiTheme="minorHAnsi" w:hAnsiTheme="minorHAnsi"/>
          <w:sz w:val="22"/>
          <w:szCs w:val="22"/>
        </w:rPr>
        <w:t>Trilogiport</w:t>
      </w:r>
      <w:proofErr w:type="spellEnd"/>
      <w:r w:rsidR="00CD0586" w:rsidRPr="00CE5762">
        <w:rPr>
          <w:rFonts w:asciiTheme="minorHAnsi" w:hAnsiTheme="minorHAnsi"/>
          <w:sz w:val="22"/>
          <w:szCs w:val="22"/>
        </w:rPr>
        <w:t xml:space="preserve">) </w:t>
      </w:r>
      <w:r w:rsidR="007852B9" w:rsidRPr="00CE5762">
        <w:rPr>
          <w:rFonts w:asciiTheme="minorHAnsi" w:hAnsiTheme="minorHAnsi"/>
          <w:sz w:val="22"/>
          <w:szCs w:val="22"/>
        </w:rPr>
        <w:t xml:space="preserve">confirme </w:t>
      </w:r>
      <w:r w:rsidR="00CD0586" w:rsidRPr="00CE5762">
        <w:rPr>
          <w:rFonts w:asciiTheme="minorHAnsi" w:hAnsiTheme="minorHAnsi"/>
          <w:sz w:val="22"/>
          <w:szCs w:val="22"/>
        </w:rPr>
        <w:t xml:space="preserve">une </w:t>
      </w:r>
      <w:r w:rsidR="007852B9" w:rsidRPr="00CE5762">
        <w:rPr>
          <w:rFonts w:asciiTheme="minorHAnsi" w:hAnsiTheme="minorHAnsi"/>
          <w:sz w:val="22"/>
          <w:szCs w:val="22"/>
        </w:rPr>
        <w:t xml:space="preserve">très belle performance et progresse de </w:t>
      </w:r>
      <w:r w:rsidR="00C60FDA" w:rsidRPr="00CE5762">
        <w:rPr>
          <w:rFonts w:asciiTheme="minorHAnsi" w:hAnsiTheme="minorHAnsi"/>
          <w:sz w:val="22"/>
          <w:szCs w:val="22"/>
        </w:rPr>
        <w:t>17</w:t>
      </w:r>
      <w:r w:rsidR="007852B9" w:rsidRPr="00CE5762">
        <w:rPr>
          <w:rFonts w:asciiTheme="minorHAnsi" w:hAnsiTheme="minorHAnsi"/>
          <w:sz w:val="22"/>
          <w:szCs w:val="22"/>
        </w:rPr>
        <w:t xml:space="preserve"> % malgré </w:t>
      </w:r>
      <w:r w:rsidR="00123547" w:rsidRPr="00CE5762">
        <w:rPr>
          <w:rFonts w:asciiTheme="minorHAnsi" w:hAnsiTheme="minorHAnsi"/>
          <w:sz w:val="22"/>
          <w:szCs w:val="22"/>
        </w:rPr>
        <w:t>le</w:t>
      </w:r>
      <w:r w:rsidR="007852B9" w:rsidRPr="00CE5762">
        <w:rPr>
          <w:rFonts w:asciiTheme="minorHAnsi" w:hAnsiTheme="minorHAnsi"/>
          <w:sz w:val="22"/>
          <w:szCs w:val="22"/>
        </w:rPr>
        <w:t xml:space="preserve"> contexte </w:t>
      </w:r>
      <w:r w:rsidR="00DA3133" w:rsidRPr="00CE5762">
        <w:rPr>
          <w:rFonts w:asciiTheme="minorHAnsi" w:hAnsiTheme="minorHAnsi"/>
          <w:sz w:val="22"/>
          <w:szCs w:val="22"/>
        </w:rPr>
        <w:t>difficile de la pandémie</w:t>
      </w:r>
      <w:r w:rsidR="007852B9" w:rsidRPr="00CE5762">
        <w:rPr>
          <w:rFonts w:asciiTheme="minorHAnsi" w:hAnsiTheme="minorHAnsi"/>
          <w:sz w:val="22"/>
          <w:szCs w:val="22"/>
        </w:rPr>
        <w:t xml:space="preserve">. </w:t>
      </w:r>
      <w:r w:rsidR="00C60FDA" w:rsidRPr="00CE5762">
        <w:rPr>
          <w:rFonts w:asciiTheme="minorHAnsi" w:hAnsiTheme="minorHAnsi"/>
          <w:sz w:val="22"/>
          <w:szCs w:val="22"/>
        </w:rPr>
        <w:t xml:space="preserve"> Plus de 51.074 EVP (Equivalents Vingt Pieds) ont transité par les trois terminaux, soit une augmentation de 7.309 EVP par rapport au premier semestre de l’année précédente. </w:t>
      </w:r>
      <w:r w:rsidR="00525C20" w:rsidRPr="00CE5762">
        <w:rPr>
          <w:rFonts w:asciiTheme="minorHAnsi" w:hAnsiTheme="minorHAnsi"/>
          <w:sz w:val="22"/>
          <w:szCs w:val="22"/>
        </w:rPr>
        <w:t xml:space="preserve"> Ceci est une belle performance considérant que le trafic de conteneurs est en diminution dans la majorité des autres ports. </w:t>
      </w:r>
    </w:p>
    <w:p w:rsidR="007867A5" w:rsidRPr="00CE5762" w:rsidRDefault="007867A5" w:rsidP="007867A5">
      <w:pPr>
        <w:pStyle w:val="NormalWeb"/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CE5762">
        <w:rPr>
          <w:rFonts w:asciiTheme="minorHAnsi" w:hAnsiTheme="minorHAnsi"/>
          <w:sz w:val="22"/>
          <w:szCs w:val="22"/>
        </w:rPr>
        <w:t>Concernant le transport fluvio-maritime, 78 caboteurs se sont amarrés à Liège (+ 9 unités) par rapport à la même période 2019. Ils ont principalement importé et exporté des produits métallurgiques en provenance de la péninsule ibérique et à destination du Royaume-Uni.</w:t>
      </w:r>
    </w:p>
    <w:p w:rsidR="0014294C" w:rsidRPr="00CE5762" w:rsidRDefault="00CD0586" w:rsidP="000341AD">
      <w:pPr>
        <w:pStyle w:val="NormalWeb"/>
        <w:shd w:val="clear" w:color="auto" w:fill="FFFFFF"/>
        <w:jc w:val="both"/>
        <w:rPr>
          <w:rFonts w:asciiTheme="minorHAnsi" w:hAnsiTheme="minorHAnsi"/>
          <w:color w:val="ED7D31" w:themeColor="accent2"/>
          <w:sz w:val="22"/>
          <w:szCs w:val="22"/>
        </w:rPr>
      </w:pPr>
      <w:r w:rsidRPr="00CE5762">
        <w:rPr>
          <w:rFonts w:asciiTheme="minorHAnsi" w:hAnsiTheme="minorHAnsi"/>
          <w:sz w:val="22"/>
          <w:szCs w:val="22"/>
        </w:rPr>
        <w:t>La reprise du Port des Yachts</w:t>
      </w:r>
      <w:r w:rsidR="00B21B87" w:rsidRPr="00CE5762">
        <w:rPr>
          <w:rFonts w:asciiTheme="minorHAnsi" w:hAnsiTheme="minorHAnsi"/>
          <w:sz w:val="22"/>
          <w:szCs w:val="22"/>
        </w:rPr>
        <w:t xml:space="preserve">, fermé durant la période de confinement, </w:t>
      </w:r>
      <w:r w:rsidRPr="00CE5762">
        <w:rPr>
          <w:rFonts w:asciiTheme="minorHAnsi" w:hAnsiTheme="minorHAnsi"/>
          <w:sz w:val="22"/>
          <w:szCs w:val="22"/>
        </w:rPr>
        <w:t>est effective depuis juillet mais l’activité de plaisance souffre d</w:t>
      </w:r>
      <w:r w:rsidR="00CF5FA4" w:rsidRPr="00CE5762">
        <w:rPr>
          <w:rFonts w:asciiTheme="minorHAnsi" w:hAnsiTheme="minorHAnsi"/>
          <w:sz w:val="22"/>
          <w:szCs w:val="22"/>
        </w:rPr>
        <w:t>’une baisse de fréquentation</w:t>
      </w:r>
      <w:r w:rsidR="00605144" w:rsidRPr="00CE5762">
        <w:rPr>
          <w:rFonts w:asciiTheme="minorHAnsi" w:hAnsiTheme="minorHAnsi"/>
          <w:sz w:val="22"/>
          <w:szCs w:val="22"/>
        </w:rPr>
        <w:t>.</w:t>
      </w:r>
    </w:p>
    <w:p w:rsidR="000341AD" w:rsidRPr="00CE5762" w:rsidRDefault="00CD0586" w:rsidP="000341AD">
      <w:pPr>
        <w:pStyle w:val="NormalWeb"/>
        <w:shd w:val="clear" w:color="auto" w:fill="FFFFFF"/>
        <w:jc w:val="both"/>
        <w:rPr>
          <w:rFonts w:asciiTheme="minorHAnsi" w:hAnsiTheme="minorHAnsi"/>
          <w:i/>
          <w:iCs/>
          <w:sz w:val="22"/>
          <w:szCs w:val="22"/>
        </w:rPr>
      </w:pPr>
      <w:r w:rsidRPr="00CE5762">
        <w:rPr>
          <w:rFonts w:asciiTheme="minorHAnsi" w:hAnsiTheme="minorHAnsi"/>
          <w:sz w:val="22"/>
          <w:szCs w:val="22"/>
        </w:rPr>
        <w:lastRenderedPageBreak/>
        <w:t>Selon M. Willy Demeyer, Président du Port autonome de Liège : « </w:t>
      </w:r>
      <w:r w:rsidR="0014294C" w:rsidRPr="00CE5762">
        <w:rPr>
          <w:rFonts w:asciiTheme="minorHAnsi" w:hAnsiTheme="minorHAnsi"/>
          <w:i/>
          <w:iCs/>
          <w:sz w:val="22"/>
          <w:szCs w:val="22"/>
        </w:rPr>
        <w:t>L</w:t>
      </w:r>
      <w:r w:rsidRPr="00CE5762">
        <w:rPr>
          <w:rFonts w:asciiTheme="minorHAnsi" w:hAnsiTheme="minorHAnsi"/>
          <w:i/>
          <w:iCs/>
          <w:sz w:val="22"/>
          <w:szCs w:val="22"/>
        </w:rPr>
        <w:t xml:space="preserve">es trafics du port de Liège ont bien évidemment été </w:t>
      </w:r>
      <w:r w:rsidR="0078692B" w:rsidRPr="00CE5762">
        <w:rPr>
          <w:rFonts w:asciiTheme="minorHAnsi" w:hAnsiTheme="minorHAnsi"/>
          <w:i/>
          <w:iCs/>
          <w:sz w:val="22"/>
          <w:szCs w:val="22"/>
        </w:rPr>
        <w:t>affectés</w:t>
      </w:r>
      <w:r w:rsidRPr="00CE5762">
        <w:rPr>
          <w:rFonts w:asciiTheme="minorHAnsi" w:hAnsiTheme="minorHAnsi"/>
          <w:i/>
          <w:iCs/>
          <w:sz w:val="22"/>
          <w:szCs w:val="22"/>
        </w:rPr>
        <w:t xml:space="preserve"> par la crise sanitaire mondiale liée à la pandémie du COVID-19. </w:t>
      </w:r>
      <w:r w:rsidR="00B96B45" w:rsidRPr="00CE5762">
        <w:rPr>
          <w:rFonts w:asciiTheme="minorHAnsi" w:hAnsiTheme="minorHAnsi"/>
          <w:i/>
          <w:iCs/>
          <w:sz w:val="22"/>
          <w:szCs w:val="22"/>
        </w:rPr>
        <w:t>Le port de Liège n’a toutefois jamais ce</w:t>
      </w:r>
      <w:r w:rsidR="00DA33A6" w:rsidRPr="00CE5762">
        <w:rPr>
          <w:rFonts w:asciiTheme="minorHAnsi" w:hAnsiTheme="minorHAnsi"/>
          <w:i/>
          <w:iCs/>
          <w:sz w:val="22"/>
          <w:szCs w:val="22"/>
        </w:rPr>
        <w:t>s</w:t>
      </w:r>
      <w:r w:rsidR="00B96B45" w:rsidRPr="00CE5762">
        <w:rPr>
          <w:rFonts w:asciiTheme="minorHAnsi" w:hAnsiTheme="minorHAnsi"/>
          <w:i/>
          <w:iCs/>
          <w:sz w:val="22"/>
          <w:szCs w:val="22"/>
        </w:rPr>
        <w:t>sé de fonctionner</w:t>
      </w:r>
      <w:r w:rsidR="00C72DA0" w:rsidRPr="00CE5762">
        <w:rPr>
          <w:rFonts w:asciiTheme="minorHAnsi" w:hAnsiTheme="minorHAnsi"/>
          <w:i/>
          <w:iCs/>
          <w:sz w:val="22"/>
          <w:szCs w:val="22"/>
        </w:rPr>
        <w:t xml:space="preserve">, </w:t>
      </w:r>
      <w:r w:rsidR="00B96B45" w:rsidRPr="00CE5762">
        <w:rPr>
          <w:rFonts w:asciiTheme="minorHAnsi" w:hAnsiTheme="minorHAnsi"/>
          <w:i/>
          <w:iCs/>
          <w:sz w:val="22"/>
          <w:szCs w:val="22"/>
        </w:rPr>
        <w:t xml:space="preserve">ce qui a permis d’atténuer les effets de la crise grâce notamment à la collaboration efficace des entreprises portuaires privées. </w:t>
      </w:r>
      <w:r w:rsidR="00332E2E" w:rsidRPr="00CE5762">
        <w:rPr>
          <w:rFonts w:asciiTheme="minorHAnsi" w:hAnsiTheme="minorHAnsi"/>
          <w:i/>
          <w:iCs/>
          <w:sz w:val="22"/>
          <w:szCs w:val="22"/>
        </w:rPr>
        <w:br/>
      </w:r>
      <w:r w:rsidR="00032F90" w:rsidRPr="00CE5762">
        <w:rPr>
          <w:rFonts w:asciiTheme="minorHAnsi" w:hAnsiTheme="minorHAnsi"/>
          <w:i/>
          <w:iCs/>
          <w:sz w:val="22"/>
          <w:szCs w:val="22"/>
        </w:rPr>
        <w:t>Aujourd’hui, n</w:t>
      </w:r>
      <w:r w:rsidR="0014294C" w:rsidRPr="00CE5762">
        <w:rPr>
          <w:rFonts w:asciiTheme="minorHAnsi" w:hAnsiTheme="minorHAnsi"/>
          <w:i/>
          <w:iCs/>
          <w:sz w:val="22"/>
          <w:szCs w:val="22"/>
        </w:rPr>
        <w:t xml:space="preserve">ous </w:t>
      </w:r>
      <w:r w:rsidR="00CF5FA4" w:rsidRPr="00CE5762">
        <w:rPr>
          <w:rFonts w:asciiTheme="minorHAnsi" w:hAnsiTheme="minorHAnsi"/>
          <w:i/>
          <w:iCs/>
          <w:sz w:val="22"/>
          <w:szCs w:val="22"/>
        </w:rPr>
        <w:t xml:space="preserve">espérons une reprise progressive des </w:t>
      </w:r>
      <w:r w:rsidR="009F6D93" w:rsidRPr="00CE5762">
        <w:rPr>
          <w:rFonts w:asciiTheme="minorHAnsi" w:hAnsiTheme="minorHAnsi"/>
          <w:i/>
          <w:iCs/>
          <w:sz w:val="22"/>
          <w:szCs w:val="22"/>
        </w:rPr>
        <w:t xml:space="preserve">trafics </w:t>
      </w:r>
      <w:r w:rsidR="000341AD" w:rsidRPr="00CE5762">
        <w:rPr>
          <w:rFonts w:asciiTheme="minorHAnsi" w:hAnsiTheme="minorHAnsi"/>
          <w:i/>
          <w:iCs/>
          <w:sz w:val="22"/>
          <w:szCs w:val="22"/>
        </w:rPr>
        <w:t xml:space="preserve">lors de ce </w:t>
      </w:r>
      <w:r w:rsidR="00CF5FA4" w:rsidRPr="00CE5762">
        <w:rPr>
          <w:rFonts w:asciiTheme="minorHAnsi" w:hAnsiTheme="minorHAnsi"/>
          <w:i/>
          <w:iCs/>
          <w:sz w:val="22"/>
          <w:szCs w:val="22"/>
        </w:rPr>
        <w:t>dernier quadrimestre</w:t>
      </w:r>
      <w:proofErr w:type="gramStart"/>
      <w:r w:rsidR="000341AD" w:rsidRPr="00CE5762">
        <w:rPr>
          <w:rFonts w:asciiTheme="minorHAnsi" w:hAnsiTheme="minorHAnsi"/>
          <w:i/>
          <w:iCs/>
          <w:sz w:val="22"/>
          <w:szCs w:val="22"/>
        </w:rPr>
        <w:t>.</w:t>
      </w:r>
      <w:r w:rsidR="0014294C" w:rsidRPr="00CE5762">
        <w:rPr>
          <w:rFonts w:asciiTheme="minorHAnsi" w:hAnsiTheme="minorHAnsi"/>
          <w:sz w:val="22"/>
          <w:szCs w:val="22"/>
        </w:rPr>
        <w:t>»</w:t>
      </w:r>
      <w:proofErr w:type="gramEnd"/>
    </w:p>
    <w:p w:rsidR="000341AD" w:rsidRPr="00CE5762" w:rsidRDefault="00EB5CE0" w:rsidP="005B351B">
      <w:pPr>
        <w:jc w:val="both"/>
        <w:rPr>
          <w:rFonts w:eastAsia="Times New Roman" w:cs="Arial"/>
          <w:b/>
          <w:bCs/>
          <w:lang w:eastAsia="fr-BE"/>
        </w:rPr>
      </w:pPr>
      <w:r w:rsidRPr="00CE5762">
        <w:rPr>
          <w:rFonts w:eastAsia="Times New Roman" w:cs="Arial"/>
          <w:b/>
          <w:bCs/>
          <w:lang w:eastAsia="fr-BE"/>
        </w:rPr>
        <w:t>Des mesures de soutien envers les entreprises portuaires</w:t>
      </w:r>
      <w:r w:rsidR="00B4222A" w:rsidRPr="00CE5762">
        <w:rPr>
          <w:rFonts w:eastAsia="Times New Roman" w:cs="Arial"/>
          <w:b/>
          <w:bCs/>
          <w:lang w:eastAsia="fr-BE"/>
        </w:rPr>
        <w:t> </w:t>
      </w:r>
      <w:r w:rsidR="00F36825" w:rsidRPr="00CE5762">
        <w:rPr>
          <w:rFonts w:eastAsia="Times New Roman" w:cs="Arial"/>
          <w:b/>
          <w:bCs/>
          <w:lang w:eastAsia="fr-BE"/>
        </w:rPr>
        <w:br/>
      </w:r>
      <w:r w:rsidR="00C72DA0" w:rsidRPr="00CE5762">
        <w:t>A</w:t>
      </w:r>
      <w:r w:rsidR="00827848" w:rsidRPr="00CE5762">
        <w:t>ttentif et soucieux de la santé économique des entreprises installées sur ses terrains portuaires,</w:t>
      </w:r>
      <w:r w:rsidR="00C72DA0" w:rsidRPr="00CE5762">
        <w:t xml:space="preserve"> le Port autonome de Liège réfléchit actuellement, en étroite collaboration avec </w:t>
      </w:r>
      <w:r w:rsidR="00A36C5B" w:rsidRPr="00CE5762">
        <w:t>l’Association des Manutentionnaires et des Usagers du port de Liège (MUPOL)</w:t>
      </w:r>
      <w:r w:rsidR="00C72DA0" w:rsidRPr="00CE5762">
        <w:t xml:space="preserve"> à </w:t>
      </w:r>
      <w:r w:rsidR="000341AD" w:rsidRPr="00CE5762">
        <w:t xml:space="preserve">une série d’actions </w:t>
      </w:r>
      <w:r w:rsidR="00C051E9" w:rsidRPr="00CE5762">
        <w:t xml:space="preserve">de soutien </w:t>
      </w:r>
      <w:r w:rsidR="00A36C5B" w:rsidRPr="00CE5762">
        <w:t xml:space="preserve">envers </w:t>
      </w:r>
      <w:r w:rsidR="00827848" w:rsidRPr="00CE5762">
        <w:t>ses concessionnaires</w:t>
      </w:r>
      <w:r w:rsidR="000341AD" w:rsidRPr="00CE5762">
        <w:t xml:space="preserve">. </w:t>
      </w:r>
    </w:p>
    <w:p w:rsidR="00EB5CE0" w:rsidRPr="00CE5762" w:rsidRDefault="00656A45" w:rsidP="000341AD">
      <w:pPr>
        <w:jc w:val="both"/>
        <w:rPr>
          <w:rFonts w:eastAsia="Times New Roman" w:cs="Arial"/>
          <w:b/>
          <w:bCs/>
          <w:lang w:eastAsia="fr-BE"/>
        </w:rPr>
      </w:pPr>
      <w:r w:rsidRPr="00CE5762">
        <w:rPr>
          <w:rFonts w:eastAsia="Times New Roman" w:cs="Arial"/>
          <w:b/>
          <w:bCs/>
          <w:lang w:eastAsia="fr-BE"/>
        </w:rPr>
        <w:t xml:space="preserve">En route vers la relance : </w:t>
      </w:r>
      <w:r w:rsidR="00A36C5B" w:rsidRPr="00CE5762">
        <w:rPr>
          <w:rFonts w:eastAsia="Times New Roman" w:cs="Arial"/>
          <w:b/>
          <w:bCs/>
          <w:lang w:eastAsia="fr-BE"/>
        </w:rPr>
        <w:t xml:space="preserve">18 </w:t>
      </w:r>
      <w:r w:rsidR="00EB5CE0" w:rsidRPr="00CE5762">
        <w:rPr>
          <w:rFonts w:eastAsia="Times New Roman" w:cs="Arial"/>
          <w:b/>
          <w:bCs/>
          <w:lang w:eastAsia="fr-BE"/>
        </w:rPr>
        <w:t>millions d’euros d’investissements</w:t>
      </w:r>
    </w:p>
    <w:p w:rsidR="003F3CEB" w:rsidRPr="00CE5762" w:rsidRDefault="003F3CEB" w:rsidP="000341AD">
      <w:pPr>
        <w:jc w:val="both"/>
        <w:rPr>
          <w:rFonts w:eastAsia="Times New Roman" w:cs="Arial"/>
          <w:lang w:eastAsia="fr-BE"/>
        </w:rPr>
      </w:pPr>
      <w:r w:rsidRPr="00CE5762">
        <w:rPr>
          <w:rFonts w:eastAsia="Times New Roman" w:cs="Arial"/>
          <w:lang w:eastAsia="fr-BE"/>
        </w:rPr>
        <w:t xml:space="preserve">L’économie portuaire liégeoise génère plus de 18.000 emplois directs et indirects générés par les entreprises </w:t>
      </w:r>
      <w:r w:rsidR="0077673E" w:rsidRPr="00CE5762">
        <w:rPr>
          <w:rFonts w:eastAsia="Times New Roman" w:cs="Arial"/>
          <w:lang w:eastAsia="fr-BE"/>
        </w:rPr>
        <w:t xml:space="preserve">privées </w:t>
      </w:r>
      <w:r w:rsidR="00402DCE" w:rsidRPr="00CE5762">
        <w:rPr>
          <w:rFonts w:eastAsia="Times New Roman" w:cs="Arial"/>
          <w:lang w:eastAsia="fr-BE"/>
        </w:rPr>
        <w:t>actives</w:t>
      </w:r>
      <w:r w:rsidRPr="00CE5762">
        <w:rPr>
          <w:rFonts w:eastAsia="Times New Roman" w:cs="Arial"/>
          <w:lang w:eastAsia="fr-BE"/>
        </w:rPr>
        <w:t xml:space="preserve"> sur les sites portuaires. </w:t>
      </w:r>
      <w:r w:rsidR="00F70A3F" w:rsidRPr="00CE5762">
        <w:rPr>
          <w:rFonts w:eastAsia="Times New Roman" w:cs="Arial"/>
          <w:lang w:eastAsia="fr-BE"/>
        </w:rPr>
        <w:t xml:space="preserve"> </w:t>
      </w:r>
    </w:p>
    <w:p w:rsidR="00F70A3F" w:rsidRPr="00CE5762" w:rsidRDefault="00F70A3F" w:rsidP="000341AD">
      <w:pPr>
        <w:jc w:val="both"/>
        <w:rPr>
          <w:rFonts w:eastAsia="Times New Roman" w:cs="Arial"/>
          <w:lang w:eastAsia="fr-BE"/>
        </w:rPr>
      </w:pPr>
      <w:r w:rsidRPr="00CE5762">
        <w:rPr>
          <w:rFonts w:eastAsia="Times New Roman" w:cs="Arial"/>
          <w:lang w:eastAsia="fr-BE"/>
        </w:rPr>
        <w:t xml:space="preserve">Malgré le contexte économique </w:t>
      </w:r>
      <w:r w:rsidR="000341AD" w:rsidRPr="00CE5762">
        <w:rPr>
          <w:rFonts w:eastAsia="Times New Roman" w:cs="Arial"/>
          <w:lang w:eastAsia="fr-BE"/>
        </w:rPr>
        <w:t xml:space="preserve">difficile, le Port autonome de Liège a </w:t>
      </w:r>
      <w:r w:rsidR="008D40E6" w:rsidRPr="00CE5762">
        <w:rPr>
          <w:rFonts w:eastAsia="Times New Roman" w:cs="Arial"/>
          <w:lang w:eastAsia="fr-BE"/>
        </w:rPr>
        <w:t>décidé</w:t>
      </w:r>
      <w:r w:rsidR="000341AD" w:rsidRPr="00CE5762">
        <w:rPr>
          <w:rFonts w:eastAsia="Times New Roman" w:cs="Arial"/>
          <w:lang w:eastAsia="fr-BE"/>
        </w:rPr>
        <w:t xml:space="preserve"> de maintenir ses programmes d’investissements nécessaires à la poursuite de la maintenance et du développement de ses zones portuaires, en étroite collaboration avec le Service public de Wallonie Mobilité et Infrastructures</w:t>
      </w:r>
      <w:r w:rsidRPr="00CE5762">
        <w:rPr>
          <w:rFonts w:eastAsia="Times New Roman" w:cs="Arial"/>
          <w:lang w:eastAsia="fr-BE"/>
        </w:rPr>
        <w:t xml:space="preserve">. </w:t>
      </w:r>
    </w:p>
    <w:p w:rsidR="001F7FA4" w:rsidRPr="00CE5762" w:rsidRDefault="006C79FE" w:rsidP="006C79FE">
      <w:pPr>
        <w:jc w:val="both"/>
        <w:rPr>
          <w:rFonts w:eastAsia="Times New Roman" w:cs="Arial"/>
          <w:lang w:eastAsia="fr-BE"/>
        </w:rPr>
      </w:pPr>
      <w:r w:rsidRPr="00CE5762">
        <w:rPr>
          <w:rFonts w:eastAsia="Times New Roman" w:cs="Arial"/>
          <w:lang w:eastAsia="fr-BE"/>
        </w:rPr>
        <w:t xml:space="preserve">Les investissements prévus dans le cadre du plan quinquennal d’investissements (2020-2024) portent ainsi entre autres sur les </w:t>
      </w:r>
      <w:r w:rsidR="002F1301" w:rsidRPr="00CE5762">
        <w:rPr>
          <w:rFonts w:eastAsia="Times New Roman" w:cs="Arial"/>
          <w:lang w:eastAsia="fr-BE"/>
        </w:rPr>
        <w:t>réalisations</w:t>
      </w:r>
      <w:r w:rsidR="00C554E4" w:rsidRPr="00CE5762">
        <w:rPr>
          <w:rFonts w:eastAsia="Times New Roman" w:cs="Arial"/>
          <w:lang w:eastAsia="fr-BE"/>
        </w:rPr>
        <w:t xml:space="preserve"> et</w:t>
      </w:r>
      <w:r w:rsidR="002F1301" w:rsidRPr="00CE5762">
        <w:rPr>
          <w:rFonts w:eastAsia="Times New Roman" w:cs="Arial"/>
          <w:lang w:eastAsia="fr-BE"/>
        </w:rPr>
        <w:t xml:space="preserve"> </w:t>
      </w:r>
      <w:r w:rsidR="00C554E4" w:rsidRPr="00CE5762">
        <w:rPr>
          <w:rFonts w:eastAsia="Times New Roman" w:cs="Arial"/>
          <w:lang w:eastAsia="fr-BE"/>
        </w:rPr>
        <w:t xml:space="preserve">projets </w:t>
      </w:r>
      <w:r w:rsidRPr="00CE5762">
        <w:rPr>
          <w:rFonts w:eastAsia="Times New Roman" w:cs="Arial"/>
          <w:lang w:eastAsia="fr-BE"/>
        </w:rPr>
        <w:t>suivants :</w:t>
      </w:r>
    </w:p>
    <w:p w:rsidR="00F36825" w:rsidRPr="00CE5762" w:rsidRDefault="00F36825" w:rsidP="006C79FE">
      <w:pPr>
        <w:jc w:val="both"/>
        <w:rPr>
          <w:rFonts w:eastAsia="Times New Roman" w:cs="Arial"/>
          <w:b/>
          <w:bCs/>
          <w:lang w:eastAsia="fr-BE"/>
        </w:rPr>
      </w:pPr>
      <w:r w:rsidRPr="00CE5762">
        <w:rPr>
          <w:rFonts w:eastAsia="Times New Roman" w:cs="Arial"/>
          <w:b/>
          <w:bCs/>
          <w:lang w:eastAsia="fr-BE"/>
        </w:rPr>
        <w:t xml:space="preserve">A Liège </w:t>
      </w:r>
      <w:proofErr w:type="spellStart"/>
      <w:r w:rsidRPr="00CE5762">
        <w:rPr>
          <w:rFonts w:eastAsia="Times New Roman" w:cs="Arial"/>
          <w:b/>
          <w:bCs/>
          <w:lang w:eastAsia="fr-BE"/>
        </w:rPr>
        <w:t>Trilogiport</w:t>
      </w:r>
      <w:proofErr w:type="spellEnd"/>
    </w:p>
    <w:p w:rsidR="001F7FA4" w:rsidRPr="00CE5762" w:rsidRDefault="001F7FA4" w:rsidP="002F1301">
      <w:pPr>
        <w:pStyle w:val="Paragraphedeliste"/>
        <w:numPr>
          <w:ilvl w:val="0"/>
          <w:numId w:val="7"/>
        </w:numPr>
        <w:jc w:val="both"/>
        <w:rPr>
          <w:rFonts w:eastAsia="Times New Roman" w:cs="Arial"/>
          <w:lang w:eastAsia="fr-BE"/>
        </w:rPr>
      </w:pPr>
      <w:proofErr w:type="gramStart"/>
      <w:r w:rsidRPr="00CE5762">
        <w:rPr>
          <w:rFonts w:eastAsia="Times New Roman" w:cs="Arial"/>
          <w:lang w:eastAsia="fr-BE"/>
        </w:rPr>
        <w:t>l</w:t>
      </w:r>
      <w:r w:rsidR="006C79FE" w:rsidRPr="00CE5762">
        <w:rPr>
          <w:rFonts w:eastAsia="Times New Roman" w:cs="Arial"/>
          <w:lang w:eastAsia="fr-BE"/>
        </w:rPr>
        <w:t>’extension</w:t>
      </w:r>
      <w:proofErr w:type="gramEnd"/>
      <w:r w:rsidR="006C79FE" w:rsidRPr="00CE5762">
        <w:rPr>
          <w:rFonts w:eastAsia="Times New Roman" w:cs="Arial"/>
          <w:lang w:eastAsia="fr-BE"/>
        </w:rPr>
        <w:t xml:space="preserve"> de la dalle du terminal à conteneurs de Liège </w:t>
      </w:r>
      <w:proofErr w:type="spellStart"/>
      <w:r w:rsidR="006C79FE" w:rsidRPr="00CE5762">
        <w:rPr>
          <w:rFonts w:eastAsia="Times New Roman" w:cs="Arial"/>
          <w:lang w:eastAsia="fr-BE"/>
        </w:rPr>
        <w:t>Trilogiport</w:t>
      </w:r>
      <w:proofErr w:type="spellEnd"/>
      <w:r w:rsidRPr="00CE5762">
        <w:rPr>
          <w:rFonts w:eastAsia="Times New Roman" w:cs="Arial"/>
          <w:lang w:eastAsia="fr-BE"/>
        </w:rPr>
        <w:t xml:space="preserve"> (réalisée </w:t>
      </w:r>
      <w:r w:rsidR="00A77DFE" w:rsidRPr="00CE5762">
        <w:rPr>
          <w:rFonts w:eastAsia="Times New Roman" w:cs="Arial"/>
          <w:lang w:eastAsia="fr-BE"/>
        </w:rPr>
        <w:t xml:space="preserve">et finalisée </w:t>
      </w:r>
      <w:r w:rsidRPr="00CE5762">
        <w:rPr>
          <w:rFonts w:eastAsia="Times New Roman" w:cs="Arial"/>
          <w:lang w:eastAsia="fr-BE"/>
        </w:rPr>
        <w:t xml:space="preserve">en 2020) </w:t>
      </w:r>
    </w:p>
    <w:p w:rsidR="001F7FA4" w:rsidRPr="00CE5762" w:rsidRDefault="006C79FE" w:rsidP="00A77DFE">
      <w:pPr>
        <w:pStyle w:val="Paragraphedeliste"/>
        <w:numPr>
          <w:ilvl w:val="0"/>
          <w:numId w:val="7"/>
        </w:numPr>
        <w:jc w:val="both"/>
        <w:rPr>
          <w:rFonts w:eastAsia="Times New Roman" w:cs="Arial"/>
          <w:lang w:eastAsia="fr-BE"/>
        </w:rPr>
      </w:pPr>
      <w:proofErr w:type="gramStart"/>
      <w:r w:rsidRPr="00CE5762">
        <w:rPr>
          <w:rFonts w:eastAsia="Times New Roman" w:cs="Arial"/>
          <w:lang w:eastAsia="fr-BE"/>
        </w:rPr>
        <w:t>l’extension</w:t>
      </w:r>
      <w:proofErr w:type="gramEnd"/>
      <w:r w:rsidRPr="00CE5762">
        <w:rPr>
          <w:rFonts w:eastAsia="Times New Roman" w:cs="Arial"/>
          <w:lang w:eastAsia="fr-BE"/>
        </w:rPr>
        <w:t xml:space="preserve"> et l’aménagement d’une voie ferrée supplémentaire à Liège </w:t>
      </w:r>
      <w:proofErr w:type="spellStart"/>
      <w:r w:rsidRPr="00CE5762">
        <w:rPr>
          <w:rFonts w:eastAsia="Times New Roman" w:cs="Arial"/>
          <w:lang w:eastAsia="fr-BE"/>
        </w:rPr>
        <w:t>Trilogiport</w:t>
      </w:r>
      <w:proofErr w:type="spellEnd"/>
      <w:r w:rsidRPr="00CE5762">
        <w:rPr>
          <w:rFonts w:eastAsia="Times New Roman" w:cs="Arial"/>
          <w:lang w:eastAsia="fr-BE"/>
        </w:rPr>
        <w:t xml:space="preserve"> (</w:t>
      </w:r>
      <w:r w:rsidR="00A77DFE" w:rsidRPr="00CE5762">
        <w:rPr>
          <w:rFonts w:eastAsia="Times New Roman" w:cs="Arial"/>
          <w:lang w:eastAsia="fr-BE"/>
        </w:rPr>
        <w:t xml:space="preserve">réalisé et finalisé en août 2020 </w:t>
      </w:r>
      <w:r w:rsidR="002F1301" w:rsidRPr="00CE5762">
        <w:rPr>
          <w:rFonts w:eastAsia="Times New Roman" w:cs="Arial"/>
          <w:lang w:eastAsia="fr-BE"/>
        </w:rPr>
        <w:t>–</w:t>
      </w:r>
      <w:r w:rsidR="00A77DFE" w:rsidRPr="00CE5762">
        <w:rPr>
          <w:rFonts w:eastAsia="Times New Roman" w:cs="Arial"/>
          <w:lang w:eastAsia="fr-BE"/>
        </w:rPr>
        <w:t xml:space="preserve"> </w:t>
      </w:r>
      <w:r w:rsidRPr="00CE5762">
        <w:rPr>
          <w:rFonts w:eastAsia="Times New Roman" w:cs="Arial"/>
          <w:lang w:eastAsia="fr-BE"/>
        </w:rPr>
        <w:t xml:space="preserve">budget 2019), </w:t>
      </w:r>
    </w:p>
    <w:p w:rsidR="001F7FA4" w:rsidRPr="00CE5762" w:rsidRDefault="006C79FE" w:rsidP="00A77DFE">
      <w:pPr>
        <w:pStyle w:val="Paragraphedeliste"/>
        <w:numPr>
          <w:ilvl w:val="0"/>
          <w:numId w:val="7"/>
        </w:numPr>
        <w:jc w:val="both"/>
        <w:rPr>
          <w:rFonts w:eastAsia="Times New Roman" w:cs="Arial"/>
          <w:lang w:eastAsia="fr-BE"/>
        </w:rPr>
      </w:pPr>
      <w:proofErr w:type="gramStart"/>
      <w:r w:rsidRPr="00CE5762">
        <w:rPr>
          <w:rFonts w:eastAsia="Times New Roman" w:cs="Arial"/>
          <w:lang w:eastAsia="fr-BE"/>
        </w:rPr>
        <w:t>certains</w:t>
      </w:r>
      <w:proofErr w:type="gramEnd"/>
      <w:r w:rsidRPr="00CE5762">
        <w:rPr>
          <w:rFonts w:eastAsia="Times New Roman" w:cs="Arial"/>
          <w:lang w:eastAsia="fr-BE"/>
        </w:rPr>
        <w:t xml:space="preserve"> travaux ferroviaires sur la voie à destination de Liège </w:t>
      </w:r>
      <w:proofErr w:type="spellStart"/>
      <w:r w:rsidRPr="00CE5762">
        <w:rPr>
          <w:rFonts w:eastAsia="Times New Roman" w:cs="Arial"/>
          <w:lang w:eastAsia="fr-BE"/>
        </w:rPr>
        <w:t>Trilogiport</w:t>
      </w:r>
      <w:proofErr w:type="spellEnd"/>
      <w:r w:rsidRPr="00CE5762">
        <w:rPr>
          <w:rFonts w:eastAsia="Times New Roman" w:cs="Arial"/>
          <w:lang w:eastAsia="fr-BE"/>
        </w:rPr>
        <w:t xml:space="preserve">, </w:t>
      </w:r>
    </w:p>
    <w:p w:rsidR="00F36825" w:rsidRPr="00CE5762" w:rsidRDefault="00F36825" w:rsidP="00F36825">
      <w:pPr>
        <w:jc w:val="both"/>
        <w:rPr>
          <w:rFonts w:eastAsia="Times New Roman" w:cs="Arial"/>
          <w:b/>
          <w:bCs/>
          <w:lang w:eastAsia="fr-BE"/>
        </w:rPr>
      </w:pPr>
      <w:r w:rsidRPr="00CE5762">
        <w:rPr>
          <w:rFonts w:eastAsia="Times New Roman" w:cs="Arial"/>
          <w:b/>
          <w:bCs/>
          <w:lang w:eastAsia="fr-BE"/>
        </w:rPr>
        <w:t>Autres zones portuaires</w:t>
      </w:r>
    </w:p>
    <w:p w:rsidR="001F7FA4" w:rsidRPr="00CE5762" w:rsidRDefault="006C79FE" w:rsidP="00A77DFE">
      <w:pPr>
        <w:pStyle w:val="Paragraphedeliste"/>
        <w:numPr>
          <w:ilvl w:val="0"/>
          <w:numId w:val="7"/>
        </w:numPr>
        <w:jc w:val="both"/>
        <w:rPr>
          <w:rFonts w:eastAsia="Times New Roman" w:cs="Arial"/>
          <w:lang w:eastAsia="fr-BE"/>
        </w:rPr>
      </w:pPr>
      <w:proofErr w:type="gramStart"/>
      <w:r w:rsidRPr="00CE5762">
        <w:rPr>
          <w:rFonts w:eastAsia="Times New Roman" w:cs="Arial"/>
          <w:lang w:eastAsia="fr-BE"/>
        </w:rPr>
        <w:t>la</w:t>
      </w:r>
      <w:proofErr w:type="gramEnd"/>
      <w:r w:rsidRPr="00CE5762">
        <w:rPr>
          <w:rFonts w:eastAsia="Times New Roman" w:cs="Arial"/>
          <w:lang w:eastAsia="fr-BE"/>
        </w:rPr>
        <w:t xml:space="preserve"> construction de nouvelles infrastructures d’accostage (Hermalle-sous-Huy), </w:t>
      </w:r>
    </w:p>
    <w:p w:rsidR="001F7FA4" w:rsidRPr="00CE5762" w:rsidRDefault="006C79FE" w:rsidP="00A77DFE">
      <w:pPr>
        <w:pStyle w:val="Paragraphedeliste"/>
        <w:numPr>
          <w:ilvl w:val="0"/>
          <w:numId w:val="7"/>
        </w:numPr>
        <w:jc w:val="both"/>
        <w:rPr>
          <w:rFonts w:eastAsia="Times New Roman" w:cs="Arial"/>
          <w:lang w:eastAsia="fr-BE"/>
        </w:rPr>
      </w:pPr>
      <w:proofErr w:type="gramStart"/>
      <w:r w:rsidRPr="00CE5762">
        <w:rPr>
          <w:rFonts w:eastAsia="Times New Roman" w:cs="Arial"/>
          <w:lang w:eastAsia="fr-BE"/>
        </w:rPr>
        <w:t>le</w:t>
      </w:r>
      <w:proofErr w:type="gramEnd"/>
      <w:r w:rsidRPr="00CE5762">
        <w:rPr>
          <w:rFonts w:eastAsia="Times New Roman" w:cs="Arial"/>
          <w:lang w:eastAsia="fr-BE"/>
        </w:rPr>
        <w:t xml:space="preserve"> prolongement du Port des Yachts, </w:t>
      </w:r>
    </w:p>
    <w:p w:rsidR="001F7FA4" w:rsidRPr="00CE5762" w:rsidRDefault="006C79FE" w:rsidP="00A77DFE">
      <w:pPr>
        <w:pStyle w:val="Paragraphedeliste"/>
        <w:numPr>
          <w:ilvl w:val="0"/>
          <w:numId w:val="7"/>
        </w:numPr>
        <w:jc w:val="both"/>
        <w:rPr>
          <w:rFonts w:eastAsia="Times New Roman" w:cs="Arial"/>
          <w:lang w:eastAsia="fr-BE"/>
        </w:rPr>
      </w:pPr>
      <w:proofErr w:type="gramStart"/>
      <w:r w:rsidRPr="00CE5762">
        <w:rPr>
          <w:rFonts w:eastAsia="Times New Roman" w:cs="Arial"/>
          <w:lang w:eastAsia="fr-BE"/>
        </w:rPr>
        <w:t>différents</w:t>
      </w:r>
      <w:proofErr w:type="gramEnd"/>
      <w:r w:rsidRPr="00CE5762">
        <w:rPr>
          <w:rFonts w:eastAsia="Times New Roman" w:cs="Arial"/>
          <w:lang w:eastAsia="fr-BE"/>
        </w:rPr>
        <w:t xml:space="preserve"> travaux liés à l’éclairage public des ports, </w:t>
      </w:r>
    </w:p>
    <w:p w:rsidR="006C79FE" w:rsidRPr="00CE5762" w:rsidRDefault="006C79FE" w:rsidP="00A77DFE">
      <w:pPr>
        <w:pStyle w:val="Paragraphedeliste"/>
        <w:numPr>
          <w:ilvl w:val="0"/>
          <w:numId w:val="7"/>
        </w:numPr>
        <w:jc w:val="both"/>
        <w:rPr>
          <w:rFonts w:eastAsia="Times New Roman" w:cs="Arial"/>
          <w:lang w:eastAsia="fr-BE"/>
        </w:rPr>
      </w:pPr>
      <w:proofErr w:type="gramStart"/>
      <w:r w:rsidRPr="00CE5762">
        <w:rPr>
          <w:rFonts w:eastAsia="Times New Roman" w:cs="Arial"/>
          <w:lang w:eastAsia="fr-BE"/>
        </w:rPr>
        <w:t>l’extension</w:t>
      </w:r>
      <w:proofErr w:type="gramEnd"/>
      <w:r w:rsidRPr="00CE5762">
        <w:rPr>
          <w:rFonts w:eastAsia="Times New Roman" w:cs="Arial"/>
          <w:lang w:eastAsia="fr-BE"/>
        </w:rPr>
        <w:t xml:space="preserve"> du terminal à conteneurs de </w:t>
      </w:r>
      <w:proofErr w:type="spellStart"/>
      <w:r w:rsidRPr="00CE5762">
        <w:rPr>
          <w:rFonts w:eastAsia="Times New Roman" w:cs="Arial"/>
          <w:lang w:eastAsia="fr-BE"/>
        </w:rPr>
        <w:t>Renory</w:t>
      </w:r>
      <w:proofErr w:type="spellEnd"/>
      <w:r w:rsidRPr="00CE5762">
        <w:rPr>
          <w:rFonts w:eastAsia="Times New Roman" w:cs="Arial"/>
          <w:lang w:eastAsia="fr-BE"/>
        </w:rPr>
        <w:t xml:space="preserve"> et l’amélioration de son accès ferroviaire, ainsi que de nombreux autres projets. </w:t>
      </w:r>
    </w:p>
    <w:p w:rsidR="006C79FE" w:rsidRPr="00CE5762" w:rsidRDefault="006C79FE" w:rsidP="006C79FE">
      <w:pPr>
        <w:jc w:val="both"/>
        <w:rPr>
          <w:rFonts w:eastAsia="Times New Roman" w:cs="Arial"/>
          <w:lang w:eastAsia="fr-BE"/>
        </w:rPr>
      </w:pPr>
      <w:r w:rsidRPr="00CE5762">
        <w:rPr>
          <w:rFonts w:eastAsia="Times New Roman" w:cs="Arial"/>
          <w:lang w:eastAsia="fr-BE"/>
        </w:rPr>
        <w:t>Le montant global de ces investissements répartis entre 2020-2024 s’élève à environ 18.000.000 € hors TVA, co-financés par le Port autonome de Liège et le Service public de Wallonie (tant sur le budget ordinaire que via le plan Marshall).</w:t>
      </w:r>
    </w:p>
    <w:p w:rsidR="00CD0586" w:rsidRPr="00CE5762" w:rsidRDefault="006C79FE" w:rsidP="006C79FE">
      <w:pPr>
        <w:jc w:val="both"/>
        <w:rPr>
          <w:rFonts w:eastAsia="Times New Roman" w:cs="Arial"/>
          <w:lang w:eastAsia="fr-BE"/>
        </w:rPr>
      </w:pPr>
      <w:r w:rsidRPr="00CE5762">
        <w:t xml:space="preserve">Le Port de Liège continuera ainsi de jouer un rôle incontournable pour l’économie locale et nationale et réitère dans ce contexte </w:t>
      </w:r>
      <w:r w:rsidRPr="00CE5762">
        <w:rPr>
          <w:rFonts w:eastAsia="Times New Roman" w:cs="Arial"/>
          <w:lang w:eastAsia="fr-BE"/>
        </w:rPr>
        <w:t>toute son importance socio-économique pour la région liégeoise.</w:t>
      </w:r>
    </w:p>
    <w:p w:rsidR="00EE0A72" w:rsidRPr="00CE5762" w:rsidRDefault="00EE0A72">
      <w:pPr>
        <w:rPr>
          <w:rFonts w:eastAsia="Times New Roman" w:cs="Times New Roman"/>
          <w:b/>
          <w:bCs/>
          <w:u w:val="single"/>
          <w:lang w:eastAsia="fr-BE"/>
        </w:rPr>
      </w:pPr>
      <w:r w:rsidRPr="00CE5762">
        <w:rPr>
          <w:b/>
          <w:bCs/>
          <w:u w:val="single"/>
        </w:rPr>
        <w:br w:type="page"/>
      </w:r>
    </w:p>
    <w:p w:rsidR="00DD28E3" w:rsidRPr="00CE5762" w:rsidRDefault="00B96B45" w:rsidP="00B96B45">
      <w:pPr>
        <w:pStyle w:val="NormalWeb"/>
        <w:shd w:val="clear" w:color="auto" w:fill="FFFFFF"/>
        <w:jc w:val="both"/>
        <w:rPr>
          <w:rFonts w:asciiTheme="minorHAnsi" w:hAnsiTheme="minorHAnsi"/>
          <w:b/>
          <w:bCs/>
          <w:sz w:val="22"/>
          <w:szCs w:val="22"/>
          <w:u w:val="single"/>
        </w:rPr>
      </w:pPr>
      <w:r w:rsidRPr="00CE5762">
        <w:rPr>
          <w:rFonts w:asciiTheme="minorHAnsi" w:hAnsiTheme="minorHAnsi"/>
          <w:b/>
          <w:bCs/>
          <w:sz w:val="22"/>
          <w:szCs w:val="22"/>
          <w:u w:val="single"/>
        </w:rPr>
        <w:lastRenderedPageBreak/>
        <w:t xml:space="preserve">Note détaillée – Statistiques du premier semestre 2020 </w:t>
      </w:r>
    </w:p>
    <w:p w:rsidR="00DD28E3" w:rsidRPr="00CE5762" w:rsidRDefault="00DD28E3" w:rsidP="00DD28E3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567" w:hanging="425"/>
        <w:jc w:val="both"/>
        <w:textAlignment w:val="baseline"/>
        <w:rPr>
          <w:b/>
          <w:bCs/>
          <w:u w:val="single"/>
          <w:lang w:eastAsia="fr-FR"/>
        </w:rPr>
      </w:pPr>
      <w:r w:rsidRPr="00CE5762">
        <w:rPr>
          <w:b/>
          <w:bCs/>
          <w:u w:val="single"/>
          <w:lang w:eastAsia="fr-FR"/>
        </w:rPr>
        <w:t>Résultats voie d’eau par type de marchandises</w:t>
      </w:r>
    </w:p>
    <w:p w:rsidR="00DD28E3" w:rsidRPr="00CE5762" w:rsidRDefault="00DD28E3" w:rsidP="00DD28E3">
      <w:pPr>
        <w:overflowPunct w:val="0"/>
        <w:autoSpaceDE w:val="0"/>
        <w:autoSpaceDN w:val="0"/>
        <w:spacing w:after="0" w:line="240" w:lineRule="auto"/>
        <w:ind w:left="567"/>
        <w:jc w:val="both"/>
        <w:textAlignment w:val="baseline"/>
        <w:rPr>
          <w:lang w:eastAsia="fr-FR"/>
        </w:rPr>
      </w:pPr>
    </w:p>
    <w:tbl>
      <w:tblPr>
        <w:tblW w:w="9072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1559"/>
        <w:gridCol w:w="1276"/>
        <w:gridCol w:w="992"/>
      </w:tblGrid>
      <w:tr w:rsidR="00F400BA" w:rsidRPr="00CE5762" w:rsidTr="00DD28E3">
        <w:trPr>
          <w:trHeight w:val="360"/>
        </w:trPr>
        <w:tc>
          <w:tcPr>
            <w:tcW w:w="3969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before="120" w:after="0" w:line="240" w:lineRule="auto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BE"/>
              </w:rPr>
            </w:pPr>
            <w:r w:rsidRPr="00CE5762">
              <w:rPr>
                <w:b/>
                <w:bCs/>
                <w:sz w:val="18"/>
                <w:szCs w:val="18"/>
                <w:lang w:val="fr-FR" w:eastAsia="fr-BE"/>
              </w:rPr>
              <w:t>CATEGORIES DE MARCHANDISES</w:t>
            </w:r>
          </w:p>
        </w:tc>
        <w:tc>
          <w:tcPr>
            <w:tcW w:w="127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before="120" w:after="120" w:line="240" w:lineRule="auto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BE"/>
              </w:rPr>
            </w:pPr>
            <w:r w:rsidRPr="00CE5762">
              <w:rPr>
                <w:b/>
                <w:bCs/>
                <w:sz w:val="18"/>
                <w:szCs w:val="18"/>
                <w:lang w:val="fr-FR" w:eastAsia="fr-BE"/>
              </w:rPr>
              <w:t>2020</w:t>
            </w:r>
          </w:p>
        </w:tc>
        <w:tc>
          <w:tcPr>
            <w:tcW w:w="1559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before="120" w:after="120" w:line="240" w:lineRule="auto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BE"/>
              </w:rPr>
            </w:pPr>
            <w:r w:rsidRPr="00CE5762">
              <w:rPr>
                <w:b/>
                <w:bCs/>
                <w:sz w:val="18"/>
                <w:szCs w:val="18"/>
                <w:lang w:val="fr-FR" w:eastAsia="fr-BE"/>
              </w:rPr>
              <w:t>2019</w:t>
            </w:r>
          </w:p>
        </w:tc>
        <w:tc>
          <w:tcPr>
            <w:tcW w:w="1276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before="120" w:after="120" w:line="240" w:lineRule="auto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BE"/>
              </w:rPr>
            </w:pPr>
            <w:r w:rsidRPr="00CE5762">
              <w:rPr>
                <w:b/>
                <w:bCs/>
                <w:sz w:val="18"/>
                <w:szCs w:val="18"/>
                <w:lang w:val="fr-FR" w:eastAsia="fr-BE"/>
              </w:rPr>
              <w:t>DIFFERENCE</w:t>
            </w:r>
          </w:p>
        </w:tc>
        <w:tc>
          <w:tcPr>
            <w:tcW w:w="992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before="120" w:after="120" w:line="240" w:lineRule="auto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BE"/>
              </w:rPr>
            </w:pPr>
            <w:r w:rsidRPr="00CE5762">
              <w:rPr>
                <w:b/>
                <w:bCs/>
                <w:sz w:val="18"/>
                <w:szCs w:val="18"/>
                <w:lang w:val="fr-FR" w:eastAsia="fr-BE"/>
              </w:rPr>
              <w:t>%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Produits de l'agriculture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139.511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243.638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-104.127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-43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Houille et lignite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526.470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736.838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-210.368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-29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Minerais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*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Produits alimentaires, boissons et tabac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*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Bois et produits du bois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158.182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152.952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5.230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3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Coke et produits pétroliers raffinés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1.494.045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1.652.394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-158.349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-10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Produits chimiques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137.852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190.468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-52.616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-28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Produits minéraux non métalliques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2.697.813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3.209.384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-511.568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-16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Métaux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528.612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628.880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-100.268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-16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Machines, matériel et instruments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1.557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-1.447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*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Matériel de transport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*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Meubles et autres articles manufacturés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*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Matières premières secondaires, déchets de voirie et autres déchets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857.756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647.766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209.990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32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Marchandises diverses, conteneurs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492.738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431.332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61.406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14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Autres marchandises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30.196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34.297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-4.101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after="120" w:line="240" w:lineRule="auto"/>
              <w:jc w:val="center"/>
              <w:textAlignment w:val="baseline"/>
              <w:rPr>
                <w:sz w:val="18"/>
                <w:szCs w:val="18"/>
                <w:lang w:val="fr-FR" w:eastAsia="fr-BE"/>
              </w:rPr>
            </w:pPr>
            <w:r w:rsidRPr="00CE5762">
              <w:rPr>
                <w:sz w:val="18"/>
                <w:szCs w:val="18"/>
                <w:lang w:val="fr-FR" w:eastAsia="fr-BE"/>
              </w:rPr>
              <w:t>-12</w:t>
            </w:r>
          </w:p>
        </w:tc>
      </w:tr>
      <w:tr w:rsidR="00F400BA" w:rsidRPr="00CE5762" w:rsidTr="00DD28E3">
        <w:trPr>
          <w:trHeight w:val="360"/>
        </w:trPr>
        <w:tc>
          <w:tcPr>
            <w:tcW w:w="396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before="120" w:after="0" w:line="240" w:lineRule="auto"/>
              <w:jc w:val="right"/>
              <w:textAlignment w:val="baseline"/>
              <w:rPr>
                <w:b/>
                <w:bCs/>
                <w:sz w:val="18"/>
                <w:szCs w:val="18"/>
                <w:lang w:val="fr-FR" w:eastAsia="fr-BE"/>
              </w:rPr>
            </w:pPr>
            <w:r w:rsidRPr="00CE5762">
              <w:rPr>
                <w:b/>
                <w:bCs/>
                <w:sz w:val="18"/>
                <w:szCs w:val="18"/>
                <w:lang w:val="fr-FR" w:eastAsia="fr-BE"/>
              </w:rPr>
              <w:t>TOTAL VOIE D'EAU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before="120" w:after="120" w:line="240" w:lineRule="auto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BE"/>
              </w:rPr>
            </w:pPr>
            <w:r w:rsidRPr="00CE5762">
              <w:rPr>
                <w:b/>
                <w:bCs/>
                <w:sz w:val="18"/>
                <w:szCs w:val="18"/>
                <w:lang w:val="fr-FR" w:eastAsia="fr-BE"/>
              </w:rPr>
              <w:t>7.063.285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before="120" w:after="120" w:line="240" w:lineRule="auto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BE"/>
              </w:rPr>
            </w:pPr>
            <w:r w:rsidRPr="00CE5762">
              <w:rPr>
                <w:b/>
                <w:bCs/>
                <w:sz w:val="18"/>
                <w:szCs w:val="18"/>
                <w:lang w:val="fr-FR" w:eastAsia="fr-BE"/>
              </w:rPr>
              <w:t>7.929.506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before="120" w:after="120" w:line="240" w:lineRule="auto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BE"/>
              </w:rPr>
            </w:pPr>
            <w:r w:rsidRPr="00CE5762">
              <w:rPr>
                <w:b/>
                <w:bCs/>
                <w:sz w:val="18"/>
                <w:szCs w:val="18"/>
                <w:lang w:val="fr-FR" w:eastAsia="fr-BE"/>
              </w:rPr>
              <w:t>-866.221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D28E3" w:rsidRPr="00CE5762" w:rsidRDefault="00DD28E3">
            <w:pPr>
              <w:overflowPunct w:val="0"/>
              <w:autoSpaceDE w:val="0"/>
              <w:autoSpaceDN w:val="0"/>
              <w:spacing w:before="120" w:after="120" w:line="240" w:lineRule="auto"/>
              <w:jc w:val="center"/>
              <w:textAlignment w:val="baseline"/>
              <w:rPr>
                <w:b/>
                <w:bCs/>
                <w:sz w:val="18"/>
                <w:szCs w:val="18"/>
                <w:lang w:val="fr-FR" w:eastAsia="fr-BE"/>
              </w:rPr>
            </w:pPr>
            <w:r w:rsidRPr="00CE5762">
              <w:rPr>
                <w:b/>
                <w:bCs/>
                <w:sz w:val="18"/>
                <w:szCs w:val="18"/>
                <w:lang w:val="fr-FR" w:eastAsia="fr-BE"/>
              </w:rPr>
              <w:t>-11</w:t>
            </w:r>
          </w:p>
        </w:tc>
      </w:tr>
    </w:tbl>
    <w:p w:rsidR="00DD28E3" w:rsidRPr="00CE5762" w:rsidRDefault="00DD28E3" w:rsidP="00DD28E3">
      <w:pPr>
        <w:overflowPunct w:val="0"/>
        <w:autoSpaceDE w:val="0"/>
        <w:autoSpaceDN w:val="0"/>
        <w:spacing w:before="120" w:after="0" w:line="240" w:lineRule="auto"/>
        <w:ind w:left="567"/>
        <w:jc w:val="both"/>
        <w:textAlignment w:val="baseline"/>
        <w:rPr>
          <w:rFonts w:cs="Calibri"/>
          <w:lang w:eastAsia="fr-FR"/>
        </w:rPr>
      </w:pPr>
      <w:r w:rsidRPr="00CE5762">
        <w:rPr>
          <w:lang w:eastAsia="fr-FR"/>
        </w:rPr>
        <w:t>* Non significatif</w:t>
      </w:r>
    </w:p>
    <w:p w:rsidR="00DD28E3" w:rsidRPr="00CE5762" w:rsidRDefault="00DD28E3" w:rsidP="00DD28E3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lang w:eastAsia="fr-FR"/>
        </w:rPr>
      </w:pPr>
    </w:p>
    <w:p w:rsidR="00DD28E3" w:rsidRPr="00CE5762" w:rsidRDefault="00DD28E3" w:rsidP="00DD28E3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lang w:eastAsia="fr-FR"/>
        </w:rPr>
      </w:pPr>
    </w:p>
    <w:p w:rsidR="00DD28E3" w:rsidRPr="00CE5762" w:rsidRDefault="00DD28E3" w:rsidP="00DD28E3">
      <w:pPr>
        <w:numPr>
          <w:ilvl w:val="0"/>
          <w:numId w:val="1"/>
        </w:numPr>
        <w:overflowPunct w:val="0"/>
        <w:autoSpaceDE w:val="0"/>
        <w:autoSpaceDN w:val="0"/>
        <w:spacing w:after="0" w:line="240" w:lineRule="auto"/>
        <w:ind w:left="567" w:hanging="425"/>
        <w:jc w:val="both"/>
        <w:textAlignment w:val="baseline"/>
        <w:rPr>
          <w:b/>
          <w:bCs/>
          <w:u w:val="single"/>
          <w:lang w:eastAsia="fr-FR"/>
        </w:rPr>
      </w:pPr>
      <w:r w:rsidRPr="00CE5762">
        <w:rPr>
          <w:b/>
          <w:bCs/>
          <w:u w:val="single"/>
          <w:lang w:eastAsia="fr-FR"/>
        </w:rPr>
        <w:t>Résultats tous modes de transport</w:t>
      </w:r>
      <w:r w:rsidR="00E43740" w:rsidRPr="00CE5762">
        <w:rPr>
          <w:b/>
          <w:bCs/>
          <w:u w:val="single"/>
          <w:lang w:eastAsia="fr-FR"/>
        </w:rPr>
        <w:t xml:space="preserve"> (eau-rail-route)</w:t>
      </w:r>
    </w:p>
    <w:p w:rsidR="00DD28E3" w:rsidRPr="00CE5762" w:rsidRDefault="00DD28E3" w:rsidP="00DD28E3">
      <w:pPr>
        <w:spacing w:after="0"/>
        <w:jc w:val="both"/>
      </w:pPr>
    </w:p>
    <w:tbl>
      <w:tblPr>
        <w:tblW w:w="8475" w:type="dxa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1980"/>
        <w:gridCol w:w="1980"/>
        <w:gridCol w:w="1546"/>
        <w:gridCol w:w="1154"/>
      </w:tblGrid>
      <w:tr w:rsidR="00F400BA" w:rsidRPr="00CE5762" w:rsidTr="00DD28E3">
        <w:trPr>
          <w:trHeight w:val="300"/>
        </w:trPr>
        <w:tc>
          <w:tcPr>
            <w:tcW w:w="181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180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Mode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1</w:t>
            </w:r>
            <w:r w:rsidRPr="00CE5762">
              <w:rPr>
                <w:b/>
                <w:bCs/>
                <w:vertAlign w:val="superscript"/>
              </w:rPr>
              <w:t>er</w:t>
            </w:r>
            <w:r w:rsidRPr="00CE5762">
              <w:rPr>
                <w:b/>
                <w:bCs/>
              </w:rPr>
              <w:t xml:space="preserve"> semestre</w:t>
            </w:r>
          </w:p>
          <w:p w:rsidR="00DD28E3" w:rsidRPr="00CE5762" w:rsidRDefault="00DD28E3">
            <w:pPr>
              <w:spacing w:after="0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2020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1</w:t>
            </w:r>
            <w:r w:rsidRPr="00CE5762">
              <w:rPr>
                <w:b/>
                <w:bCs/>
                <w:vertAlign w:val="superscript"/>
              </w:rPr>
              <w:t>er</w:t>
            </w:r>
            <w:r w:rsidRPr="00CE5762">
              <w:rPr>
                <w:b/>
                <w:bCs/>
              </w:rPr>
              <w:t xml:space="preserve"> semestre</w:t>
            </w:r>
          </w:p>
          <w:p w:rsidR="00DD28E3" w:rsidRPr="00CE5762" w:rsidRDefault="00DD28E3">
            <w:pPr>
              <w:spacing w:after="0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2019</w:t>
            </w:r>
          </w:p>
        </w:tc>
        <w:tc>
          <w:tcPr>
            <w:tcW w:w="154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Variation</w:t>
            </w:r>
          </w:p>
        </w:tc>
        <w:tc>
          <w:tcPr>
            <w:tcW w:w="115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%</w:t>
            </w:r>
          </w:p>
        </w:tc>
      </w:tr>
      <w:tr w:rsidR="00F400BA" w:rsidRPr="00CE5762" w:rsidTr="00DD28E3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jc w:val="both"/>
            </w:pPr>
            <w:r w:rsidRPr="00CE5762">
              <w:t>Voie d'eau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61"/>
              <w:jc w:val="center"/>
            </w:pPr>
            <w:r w:rsidRPr="00CE5762">
              <w:t>7.063.285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61"/>
              <w:jc w:val="center"/>
            </w:pPr>
            <w:r w:rsidRPr="00CE5762">
              <w:t>7.929.506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00"/>
              <w:jc w:val="center"/>
            </w:pPr>
            <w:r w:rsidRPr="00CE5762">
              <w:t>-866.221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194"/>
              <w:jc w:val="center"/>
            </w:pPr>
            <w:r w:rsidRPr="00CE5762">
              <w:t>-11</w:t>
            </w:r>
          </w:p>
        </w:tc>
      </w:tr>
      <w:tr w:rsidR="00F400BA" w:rsidRPr="00CE5762" w:rsidTr="00DD28E3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jc w:val="both"/>
            </w:pPr>
            <w:r w:rsidRPr="00CE5762">
              <w:t>Route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61"/>
              <w:jc w:val="center"/>
            </w:pPr>
            <w:r w:rsidRPr="00CE5762">
              <w:t>1.728.192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61"/>
              <w:jc w:val="center"/>
            </w:pPr>
            <w:r w:rsidRPr="00CE5762">
              <w:t>1.868.029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00"/>
              <w:jc w:val="center"/>
            </w:pPr>
            <w:r w:rsidRPr="00CE5762">
              <w:t>-139.837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194"/>
              <w:jc w:val="center"/>
            </w:pPr>
            <w:r w:rsidRPr="00CE5762">
              <w:t>-7</w:t>
            </w:r>
          </w:p>
        </w:tc>
      </w:tr>
      <w:tr w:rsidR="00F400BA" w:rsidRPr="00CE5762" w:rsidTr="00DD28E3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jc w:val="both"/>
            </w:pPr>
            <w:r w:rsidRPr="00CE5762">
              <w:t>Rail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61"/>
              <w:jc w:val="center"/>
            </w:pPr>
            <w:r w:rsidRPr="00CE5762">
              <w:t>524.450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61"/>
              <w:jc w:val="center"/>
            </w:pPr>
            <w:r w:rsidRPr="00CE5762">
              <w:t>735.189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00"/>
              <w:jc w:val="center"/>
            </w:pPr>
            <w:r w:rsidRPr="00CE5762">
              <w:t>-210.739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194"/>
              <w:jc w:val="center"/>
            </w:pPr>
            <w:r w:rsidRPr="00CE5762">
              <w:t>-29</w:t>
            </w:r>
          </w:p>
        </w:tc>
      </w:tr>
      <w:tr w:rsidR="00F400BA" w:rsidRPr="00CE5762" w:rsidTr="00DD28E3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jc w:val="both"/>
              <w:rPr>
                <w:b/>
                <w:bCs/>
              </w:rPr>
            </w:pPr>
            <w:r w:rsidRPr="00CE5762">
              <w:rPr>
                <w:b/>
                <w:bCs/>
              </w:rPr>
              <w:t>Total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61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9.315.927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61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10.532.724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200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-1.216.797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28E3" w:rsidRPr="00CE5762" w:rsidRDefault="00DD28E3">
            <w:pPr>
              <w:spacing w:after="0"/>
              <w:ind w:left="194"/>
              <w:jc w:val="center"/>
              <w:rPr>
                <w:b/>
                <w:bCs/>
              </w:rPr>
            </w:pPr>
            <w:r w:rsidRPr="00CE5762">
              <w:rPr>
                <w:b/>
                <w:bCs/>
              </w:rPr>
              <w:t>-12</w:t>
            </w:r>
          </w:p>
        </w:tc>
      </w:tr>
    </w:tbl>
    <w:p w:rsidR="00DD28E3" w:rsidRPr="00CE5762" w:rsidRDefault="00DD28E3" w:rsidP="00DD28E3">
      <w:pPr>
        <w:spacing w:after="0"/>
        <w:rPr>
          <w:rFonts w:cs="Calibri"/>
          <w:b/>
          <w:bCs/>
          <w:i/>
          <w:iCs/>
        </w:rPr>
      </w:pPr>
      <w:r w:rsidRPr="00CE5762"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</w:t>
      </w:r>
      <w:r w:rsidRPr="00CE5762">
        <w:rPr>
          <w:b/>
          <w:bCs/>
          <w:i/>
          <w:iCs/>
        </w:rPr>
        <w:t>En tonnes</w:t>
      </w:r>
    </w:p>
    <w:p w:rsidR="00581A13" w:rsidRPr="00CE5762" w:rsidRDefault="00581A13" w:rsidP="00581A13">
      <w:pPr>
        <w:spacing w:after="0" w:line="240" w:lineRule="auto"/>
        <w:jc w:val="both"/>
      </w:pPr>
    </w:p>
    <w:p w:rsidR="00581A13" w:rsidRPr="00CE5762" w:rsidRDefault="00581A13" w:rsidP="00581A13">
      <w:pPr>
        <w:spacing w:after="0" w:line="240" w:lineRule="auto"/>
        <w:jc w:val="both"/>
      </w:pPr>
    </w:p>
    <w:p w:rsidR="00581A13" w:rsidRPr="00CE5762" w:rsidRDefault="00581A13" w:rsidP="00581A13">
      <w:pPr>
        <w:spacing w:after="0" w:line="240" w:lineRule="auto"/>
        <w:jc w:val="both"/>
      </w:pPr>
    </w:p>
    <w:p w:rsidR="00581A13" w:rsidRPr="00CE5762" w:rsidRDefault="00581A13" w:rsidP="00581A13">
      <w:pPr>
        <w:spacing w:after="0" w:line="240" w:lineRule="auto"/>
        <w:jc w:val="both"/>
      </w:pPr>
    </w:p>
    <w:p w:rsidR="00581A13" w:rsidRPr="00CE5762" w:rsidRDefault="00581A13" w:rsidP="00581A13">
      <w:pPr>
        <w:spacing w:after="0" w:line="240" w:lineRule="auto"/>
        <w:jc w:val="both"/>
      </w:pPr>
    </w:p>
    <w:p w:rsidR="00581A13" w:rsidRPr="00CE5762" w:rsidRDefault="00581A13" w:rsidP="00581A13">
      <w:pPr>
        <w:pBdr>
          <w:top w:val="single" w:sz="4" w:space="1" w:color="auto"/>
        </w:pBdr>
        <w:spacing w:after="0" w:line="240" w:lineRule="auto"/>
        <w:rPr>
          <w:rFonts w:eastAsia="Times New Roman" w:cs="Arial"/>
          <w:b/>
          <w:sz w:val="18"/>
          <w:szCs w:val="18"/>
          <w:lang w:val="fr-FR" w:eastAsia="fr-FR"/>
        </w:rPr>
      </w:pPr>
      <w:r w:rsidRPr="00CE5762">
        <w:rPr>
          <w:rFonts w:eastAsia="Times New Roman" w:cs="Arial"/>
          <w:b/>
          <w:sz w:val="18"/>
          <w:szCs w:val="18"/>
          <w:lang w:val="fr-FR" w:eastAsia="fr-FR"/>
        </w:rPr>
        <w:t>Contact presse</w:t>
      </w:r>
    </w:p>
    <w:p w:rsidR="00581A13" w:rsidRPr="00CE5762" w:rsidRDefault="00581A13" w:rsidP="00581A13">
      <w:pPr>
        <w:spacing w:after="0" w:line="240" w:lineRule="auto"/>
        <w:rPr>
          <w:rFonts w:eastAsia="Times New Roman" w:cs="Arial"/>
          <w:sz w:val="18"/>
          <w:szCs w:val="18"/>
          <w:lang w:val="fr-FR" w:eastAsia="fr-FR"/>
        </w:rPr>
      </w:pPr>
      <w:r w:rsidRPr="00CE5762">
        <w:rPr>
          <w:rFonts w:eastAsia="Times New Roman" w:cs="Arial"/>
          <w:sz w:val="18"/>
          <w:szCs w:val="18"/>
          <w:lang w:val="fr-FR" w:eastAsia="fr-FR"/>
        </w:rPr>
        <w:t xml:space="preserve">Hélène Thiébaut, Attachée – Communication, Port autonome de Liège, quai de </w:t>
      </w:r>
      <w:proofErr w:type="spellStart"/>
      <w:r w:rsidRPr="00CE5762">
        <w:rPr>
          <w:rFonts w:eastAsia="Times New Roman" w:cs="Arial"/>
          <w:sz w:val="18"/>
          <w:szCs w:val="18"/>
          <w:lang w:val="fr-FR" w:eastAsia="fr-FR"/>
        </w:rPr>
        <w:t>Maestricht</w:t>
      </w:r>
      <w:proofErr w:type="spellEnd"/>
      <w:r w:rsidRPr="00CE5762">
        <w:rPr>
          <w:rFonts w:eastAsia="Times New Roman" w:cs="Arial"/>
          <w:sz w:val="18"/>
          <w:szCs w:val="18"/>
          <w:lang w:val="fr-FR" w:eastAsia="fr-FR"/>
        </w:rPr>
        <w:t xml:space="preserve"> 14 B - 4000 Liège  </w:t>
      </w:r>
      <w:r w:rsidRPr="00CE5762">
        <w:rPr>
          <w:rFonts w:eastAsia="Times New Roman" w:cs="Arial"/>
          <w:sz w:val="18"/>
          <w:szCs w:val="18"/>
          <w:lang w:val="fr-FR" w:eastAsia="fr-FR"/>
        </w:rPr>
        <w:br/>
      </w:r>
      <w:proofErr w:type="gramStart"/>
      <w:r w:rsidRPr="00CE5762">
        <w:rPr>
          <w:rFonts w:eastAsia="Times New Roman" w:cs="Arial"/>
          <w:sz w:val="18"/>
          <w:szCs w:val="18"/>
          <w:lang w:val="fr-FR" w:eastAsia="fr-FR"/>
        </w:rPr>
        <w:t>TEL:</w:t>
      </w:r>
      <w:proofErr w:type="gramEnd"/>
      <w:r w:rsidRPr="00CE5762">
        <w:rPr>
          <w:rFonts w:eastAsia="Times New Roman" w:cs="Arial"/>
          <w:sz w:val="18"/>
          <w:szCs w:val="18"/>
          <w:lang w:val="fr-FR" w:eastAsia="fr-FR"/>
        </w:rPr>
        <w:t xml:space="preserve"> + 32 4 232 97 85    </w:t>
      </w:r>
      <w:hyperlink r:id="rId8" w:history="1">
        <w:r w:rsidRPr="00CE5762">
          <w:rPr>
            <w:rFonts w:eastAsia="Times New Roman"/>
            <w:sz w:val="18"/>
            <w:szCs w:val="18"/>
            <w:lang w:val="fr-FR" w:eastAsia="fr-FR"/>
          </w:rPr>
          <w:t>h.thiebaut@portdeliege.be</w:t>
        </w:r>
      </w:hyperlink>
      <w:r w:rsidRPr="00CE5762">
        <w:rPr>
          <w:rFonts w:eastAsia="Times New Roman" w:cs="Arial"/>
          <w:sz w:val="18"/>
          <w:szCs w:val="18"/>
          <w:lang w:val="fr-FR" w:eastAsia="fr-FR"/>
        </w:rPr>
        <w:t xml:space="preserve">    www.portdeliege.be</w:t>
      </w:r>
    </w:p>
    <w:p w:rsidR="00DD28E3" w:rsidRPr="00CE5762" w:rsidRDefault="00DD28E3" w:rsidP="00DD28E3">
      <w:pPr>
        <w:overflowPunct w:val="0"/>
        <w:autoSpaceDE w:val="0"/>
        <w:autoSpaceDN w:val="0"/>
        <w:spacing w:after="0" w:line="240" w:lineRule="auto"/>
        <w:ind w:left="567" w:hanging="567"/>
        <w:jc w:val="both"/>
        <w:textAlignment w:val="baseline"/>
        <w:rPr>
          <w:lang w:val="fr-FR" w:eastAsia="fr-FR"/>
        </w:rPr>
      </w:pPr>
    </w:p>
    <w:sectPr w:rsidR="00DD28E3" w:rsidRPr="00CE57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A5B" w:rsidRDefault="00F06A5B" w:rsidP="00F06A5B">
      <w:pPr>
        <w:spacing w:after="0" w:line="240" w:lineRule="auto"/>
      </w:pPr>
      <w:r>
        <w:separator/>
      </w:r>
    </w:p>
  </w:endnote>
  <w:endnote w:type="continuationSeparator" w:id="0">
    <w:p w:rsidR="00F06A5B" w:rsidRDefault="00F06A5B" w:rsidP="00F06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142831"/>
      <w:docPartObj>
        <w:docPartGallery w:val="Page Numbers (Bottom of Page)"/>
        <w:docPartUnique/>
      </w:docPartObj>
    </w:sdtPr>
    <w:sdtEndPr/>
    <w:sdtContent>
      <w:p w:rsidR="00F06A5B" w:rsidRDefault="00F06A5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:rsidR="00F06A5B" w:rsidRDefault="00F06A5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A5B" w:rsidRDefault="00F06A5B" w:rsidP="00F06A5B">
      <w:pPr>
        <w:spacing w:after="0" w:line="240" w:lineRule="auto"/>
      </w:pPr>
      <w:r>
        <w:separator/>
      </w:r>
    </w:p>
  </w:footnote>
  <w:footnote w:type="continuationSeparator" w:id="0">
    <w:p w:rsidR="00F06A5B" w:rsidRDefault="00F06A5B" w:rsidP="00F06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A29CF"/>
    <w:multiLevelType w:val="hybridMultilevel"/>
    <w:tmpl w:val="32A077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20C"/>
    <w:multiLevelType w:val="hybridMultilevel"/>
    <w:tmpl w:val="5B704886"/>
    <w:lvl w:ilvl="0" w:tplc="080C0013">
      <w:start w:val="1"/>
      <w:numFmt w:val="upperRoman"/>
      <w:lvlText w:val="%1."/>
      <w:lvlJc w:val="right"/>
      <w:pPr>
        <w:ind w:left="1287" w:hanging="360"/>
      </w:pPr>
    </w:lvl>
    <w:lvl w:ilvl="1" w:tplc="080C0019">
      <w:start w:val="1"/>
      <w:numFmt w:val="lowerLetter"/>
      <w:lvlText w:val="%2."/>
      <w:lvlJc w:val="left"/>
      <w:pPr>
        <w:ind w:left="2007" w:hanging="360"/>
      </w:pPr>
    </w:lvl>
    <w:lvl w:ilvl="2" w:tplc="080C001B">
      <w:start w:val="1"/>
      <w:numFmt w:val="lowerRoman"/>
      <w:lvlText w:val="%3."/>
      <w:lvlJc w:val="right"/>
      <w:pPr>
        <w:ind w:left="2727" w:hanging="180"/>
      </w:pPr>
    </w:lvl>
    <w:lvl w:ilvl="3" w:tplc="080C000F">
      <w:start w:val="1"/>
      <w:numFmt w:val="decimal"/>
      <w:lvlText w:val="%4."/>
      <w:lvlJc w:val="left"/>
      <w:pPr>
        <w:ind w:left="3447" w:hanging="360"/>
      </w:pPr>
    </w:lvl>
    <w:lvl w:ilvl="4" w:tplc="080C0019">
      <w:start w:val="1"/>
      <w:numFmt w:val="lowerLetter"/>
      <w:lvlText w:val="%5."/>
      <w:lvlJc w:val="left"/>
      <w:pPr>
        <w:ind w:left="4167" w:hanging="360"/>
      </w:pPr>
    </w:lvl>
    <w:lvl w:ilvl="5" w:tplc="080C001B">
      <w:start w:val="1"/>
      <w:numFmt w:val="lowerRoman"/>
      <w:lvlText w:val="%6."/>
      <w:lvlJc w:val="right"/>
      <w:pPr>
        <w:ind w:left="4887" w:hanging="180"/>
      </w:pPr>
    </w:lvl>
    <w:lvl w:ilvl="6" w:tplc="080C000F">
      <w:start w:val="1"/>
      <w:numFmt w:val="decimal"/>
      <w:lvlText w:val="%7."/>
      <w:lvlJc w:val="left"/>
      <w:pPr>
        <w:ind w:left="5607" w:hanging="360"/>
      </w:pPr>
    </w:lvl>
    <w:lvl w:ilvl="7" w:tplc="080C0019">
      <w:start w:val="1"/>
      <w:numFmt w:val="lowerLetter"/>
      <w:lvlText w:val="%8."/>
      <w:lvlJc w:val="left"/>
      <w:pPr>
        <w:ind w:left="6327" w:hanging="360"/>
      </w:pPr>
    </w:lvl>
    <w:lvl w:ilvl="8" w:tplc="080C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69017EB"/>
    <w:multiLevelType w:val="hybridMultilevel"/>
    <w:tmpl w:val="C1D2165C"/>
    <w:lvl w:ilvl="0" w:tplc="5694F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F0A"/>
    <w:multiLevelType w:val="hybridMultilevel"/>
    <w:tmpl w:val="56FC929A"/>
    <w:lvl w:ilvl="0" w:tplc="A4FA7A18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559BD"/>
    <w:multiLevelType w:val="hybridMultilevel"/>
    <w:tmpl w:val="335CDB5E"/>
    <w:lvl w:ilvl="0" w:tplc="C0C01DC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C4B1A"/>
    <w:multiLevelType w:val="hybridMultilevel"/>
    <w:tmpl w:val="DBFCDB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E3"/>
    <w:rsid w:val="00032F90"/>
    <w:rsid w:val="000341AD"/>
    <w:rsid w:val="000B7766"/>
    <w:rsid w:val="000D3E4C"/>
    <w:rsid w:val="000F753B"/>
    <w:rsid w:val="00105FE6"/>
    <w:rsid w:val="001111DD"/>
    <w:rsid w:val="00123547"/>
    <w:rsid w:val="0014294C"/>
    <w:rsid w:val="001E3888"/>
    <w:rsid w:val="001E6329"/>
    <w:rsid w:val="001F7FA4"/>
    <w:rsid w:val="00226066"/>
    <w:rsid w:val="0024532A"/>
    <w:rsid w:val="002B3B0A"/>
    <w:rsid w:val="002E3E70"/>
    <w:rsid w:val="002F1301"/>
    <w:rsid w:val="00332E2E"/>
    <w:rsid w:val="003804AD"/>
    <w:rsid w:val="0039216B"/>
    <w:rsid w:val="0039277C"/>
    <w:rsid w:val="003F3CEB"/>
    <w:rsid w:val="003F7DC8"/>
    <w:rsid w:val="004017D7"/>
    <w:rsid w:val="00402DCE"/>
    <w:rsid w:val="004265C8"/>
    <w:rsid w:val="00436B60"/>
    <w:rsid w:val="004A4B35"/>
    <w:rsid w:val="004D4975"/>
    <w:rsid w:val="004F6E6D"/>
    <w:rsid w:val="005061B6"/>
    <w:rsid w:val="00506C77"/>
    <w:rsid w:val="00525C20"/>
    <w:rsid w:val="00526639"/>
    <w:rsid w:val="0053210E"/>
    <w:rsid w:val="00543A60"/>
    <w:rsid w:val="0054545B"/>
    <w:rsid w:val="005551BE"/>
    <w:rsid w:val="005679E2"/>
    <w:rsid w:val="00581A13"/>
    <w:rsid w:val="005B217D"/>
    <w:rsid w:val="005B2254"/>
    <w:rsid w:val="005B351B"/>
    <w:rsid w:val="005C0E78"/>
    <w:rsid w:val="005D4688"/>
    <w:rsid w:val="005E147B"/>
    <w:rsid w:val="005E26AA"/>
    <w:rsid w:val="00605144"/>
    <w:rsid w:val="0061188C"/>
    <w:rsid w:val="00656A45"/>
    <w:rsid w:val="0069586B"/>
    <w:rsid w:val="006C79FE"/>
    <w:rsid w:val="006D6E19"/>
    <w:rsid w:val="006D7553"/>
    <w:rsid w:val="00753A48"/>
    <w:rsid w:val="0077673E"/>
    <w:rsid w:val="007770BF"/>
    <w:rsid w:val="0078234E"/>
    <w:rsid w:val="0078365D"/>
    <w:rsid w:val="00783912"/>
    <w:rsid w:val="00784962"/>
    <w:rsid w:val="007852B9"/>
    <w:rsid w:val="007867A5"/>
    <w:rsid w:val="0078692B"/>
    <w:rsid w:val="007A65DD"/>
    <w:rsid w:val="007B363E"/>
    <w:rsid w:val="007F1E45"/>
    <w:rsid w:val="007F5AFA"/>
    <w:rsid w:val="00827848"/>
    <w:rsid w:val="008C3D3B"/>
    <w:rsid w:val="008D40E6"/>
    <w:rsid w:val="008E050E"/>
    <w:rsid w:val="00934734"/>
    <w:rsid w:val="0094495D"/>
    <w:rsid w:val="009B6A0F"/>
    <w:rsid w:val="009F6D93"/>
    <w:rsid w:val="00A0793D"/>
    <w:rsid w:val="00A17CE2"/>
    <w:rsid w:val="00A36C5B"/>
    <w:rsid w:val="00A578F8"/>
    <w:rsid w:val="00A77DFE"/>
    <w:rsid w:val="00AC1BC7"/>
    <w:rsid w:val="00AD7219"/>
    <w:rsid w:val="00B00CCE"/>
    <w:rsid w:val="00B21B87"/>
    <w:rsid w:val="00B4222A"/>
    <w:rsid w:val="00B44497"/>
    <w:rsid w:val="00B96B45"/>
    <w:rsid w:val="00BD7C0F"/>
    <w:rsid w:val="00BF087C"/>
    <w:rsid w:val="00C051E9"/>
    <w:rsid w:val="00C22B61"/>
    <w:rsid w:val="00C30B1B"/>
    <w:rsid w:val="00C43F06"/>
    <w:rsid w:val="00C554E4"/>
    <w:rsid w:val="00C60FDA"/>
    <w:rsid w:val="00C72DA0"/>
    <w:rsid w:val="00CB001D"/>
    <w:rsid w:val="00CC4331"/>
    <w:rsid w:val="00CD0586"/>
    <w:rsid w:val="00CD0C18"/>
    <w:rsid w:val="00CE0878"/>
    <w:rsid w:val="00CE5762"/>
    <w:rsid w:val="00CE7915"/>
    <w:rsid w:val="00CF5FA4"/>
    <w:rsid w:val="00D42760"/>
    <w:rsid w:val="00D9252C"/>
    <w:rsid w:val="00D9712A"/>
    <w:rsid w:val="00DA3133"/>
    <w:rsid w:val="00DA33A6"/>
    <w:rsid w:val="00DD0F33"/>
    <w:rsid w:val="00DD28E3"/>
    <w:rsid w:val="00DE241C"/>
    <w:rsid w:val="00DF6C18"/>
    <w:rsid w:val="00E36617"/>
    <w:rsid w:val="00E43740"/>
    <w:rsid w:val="00E5198A"/>
    <w:rsid w:val="00E57DBD"/>
    <w:rsid w:val="00E6209A"/>
    <w:rsid w:val="00E672A7"/>
    <w:rsid w:val="00EA6217"/>
    <w:rsid w:val="00EB5CE0"/>
    <w:rsid w:val="00EC1B7F"/>
    <w:rsid w:val="00ED4D31"/>
    <w:rsid w:val="00EE0A72"/>
    <w:rsid w:val="00EF12E7"/>
    <w:rsid w:val="00F02E14"/>
    <w:rsid w:val="00F06A5B"/>
    <w:rsid w:val="00F146B8"/>
    <w:rsid w:val="00F27464"/>
    <w:rsid w:val="00F36825"/>
    <w:rsid w:val="00F400BA"/>
    <w:rsid w:val="00F70A3F"/>
    <w:rsid w:val="00F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B0D6"/>
  <w15:chartTrackingRefBased/>
  <w15:docId w15:val="{EEB5869E-5767-48D8-804F-84AD18F8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111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111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2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1111DD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styleId="lev">
    <w:name w:val="Strong"/>
    <w:basedOn w:val="Policepardfaut"/>
    <w:uiPriority w:val="22"/>
    <w:qFormat/>
    <w:rsid w:val="001111D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111DD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111DD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rsid w:val="001111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FD2D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6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6A5B"/>
  </w:style>
  <w:style w:type="paragraph" w:styleId="Pieddepage">
    <w:name w:val="footer"/>
    <w:basedOn w:val="Normal"/>
    <w:link w:val="PieddepageCar"/>
    <w:uiPriority w:val="99"/>
    <w:unhideWhenUsed/>
    <w:rsid w:val="00F06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2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7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06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3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8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0109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16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8954">
              <w:marLeft w:val="0"/>
              <w:marRight w:val="0"/>
              <w:marTop w:val="0"/>
              <w:marBottom w:val="450"/>
              <w:divBdr>
                <w:top w:val="single" w:sz="6" w:space="6" w:color="CCCCCC"/>
                <w:left w:val="none" w:sz="0" w:space="0" w:color="auto"/>
                <w:bottom w:val="single" w:sz="6" w:space="6" w:color="CCCCCC"/>
                <w:right w:val="none" w:sz="0" w:space="0" w:color="auto"/>
              </w:divBdr>
            </w:div>
          </w:divsChild>
        </w:div>
      </w:divsChild>
    </w:div>
    <w:div w:id="21453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.thiebaut@portdelieg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1120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Thiébaut</dc:creator>
  <cp:keywords/>
  <dc:description/>
  <cp:lastModifiedBy>Hélène Thiébaut</cp:lastModifiedBy>
  <cp:revision>127</cp:revision>
  <cp:lastPrinted>2020-09-07T10:04:00Z</cp:lastPrinted>
  <dcterms:created xsi:type="dcterms:W3CDTF">2020-09-03T07:33:00Z</dcterms:created>
  <dcterms:modified xsi:type="dcterms:W3CDTF">2020-09-11T05:43:00Z</dcterms:modified>
</cp:coreProperties>
</file>